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A913" w14:textId="1AE53DA0" w:rsidR="007F6104" w:rsidRPr="00483A39" w:rsidRDefault="008E5F52" w:rsidP="00BF2D66">
      <w:pPr>
        <w:pStyle w:val="TxBrp1"/>
        <w:spacing w:line="276" w:lineRule="auto"/>
        <w:ind w:hanging="34"/>
        <w:rPr>
          <w:rFonts w:asciiTheme="minorHAnsi" w:hAnsiTheme="minorHAnsi" w:cstheme="minorHAnsi"/>
          <w:b/>
          <w:bCs/>
          <w:sz w:val="22"/>
          <w:szCs w:val="22"/>
          <w:u w:val="single"/>
          <w:lang w:val="fr-FR"/>
        </w:rPr>
      </w:pPr>
      <w:r w:rsidRPr="00BF2D66">
        <w:rPr>
          <w:rFonts w:asciiTheme="minorHAnsi" w:hAnsiTheme="minorHAnsi" w:cstheme="minorHAnsi"/>
          <w:sz w:val="22"/>
          <w:szCs w:val="22"/>
          <w:lang w:val="fr-FR"/>
        </w:rPr>
        <w:tab/>
      </w:r>
    </w:p>
    <w:p w14:paraId="04466D42" w14:textId="77777777" w:rsidR="00483A39" w:rsidRPr="00BF2D66" w:rsidRDefault="00483A39" w:rsidP="00BF2D66">
      <w:pPr>
        <w:pStyle w:val="TxBrp1"/>
        <w:spacing w:line="276" w:lineRule="auto"/>
        <w:ind w:hanging="34"/>
        <w:rPr>
          <w:rFonts w:asciiTheme="minorHAnsi" w:hAnsiTheme="minorHAnsi" w:cstheme="minorHAnsi"/>
          <w:sz w:val="22"/>
          <w:szCs w:val="22"/>
          <w:lang w:val="fr-FR"/>
        </w:rPr>
      </w:pPr>
    </w:p>
    <w:p w14:paraId="43FB83A4" w14:textId="4C5DBB9E" w:rsidR="008F0120" w:rsidRDefault="00DF77CA" w:rsidP="00BF2D66">
      <w:pPr>
        <w:pStyle w:val="Kop1"/>
        <w:spacing w:before="0" w:after="0" w:line="276" w:lineRule="auto"/>
        <w:jc w:val="center"/>
        <w:rPr>
          <w:rFonts w:asciiTheme="minorHAnsi" w:hAnsiTheme="minorHAnsi" w:cstheme="minorHAnsi"/>
          <w:b w:val="0"/>
          <w:bCs/>
          <w:kern w:val="0"/>
          <w:sz w:val="22"/>
          <w:szCs w:val="22"/>
          <w:u w:val="single"/>
          <w:lang w:val="fr-FR"/>
        </w:rPr>
      </w:pPr>
      <w:r w:rsidRPr="00BF2D66">
        <w:rPr>
          <w:rFonts w:asciiTheme="minorHAnsi" w:hAnsiTheme="minorHAnsi" w:cstheme="minorHAnsi"/>
          <w:b w:val="0"/>
          <w:bCs/>
          <w:kern w:val="0"/>
          <w:sz w:val="22"/>
          <w:szCs w:val="22"/>
          <w:u w:val="single"/>
          <w:lang w:val="fr-FR"/>
        </w:rPr>
        <w:t>Dalles</w:t>
      </w:r>
      <w:r w:rsidR="003A4BAB" w:rsidRPr="00BF2D66">
        <w:rPr>
          <w:rFonts w:asciiTheme="minorHAnsi" w:hAnsiTheme="minorHAnsi" w:cstheme="minorHAnsi"/>
          <w:b w:val="0"/>
          <w:bCs/>
          <w:kern w:val="0"/>
          <w:sz w:val="22"/>
          <w:szCs w:val="22"/>
          <w:u w:val="single"/>
          <w:lang w:val="fr-FR"/>
        </w:rPr>
        <w:t xml:space="preserve"> de </w:t>
      </w:r>
      <w:r w:rsidR="00FE71D3">
        <w:rPr>
          <w:rFonts w:asciiTheme="minorHAnsi" w:hAnsiTheme="minorHAnsi" w:cstheme="minorHAnsi"/>
          <w:b w:val="0"/>
          <w:bCs/>
          <w:kern w:val="0"/>
          <w:sz w:val="22"/>
          <w:szCs w:val="22"/>
          <w:u w:val="single"/>
          <w:lang w:val="fr-FR"/>
        </w:rPr>
        <w:t xml:space="preserve">moquette </w:t>
      </w:r>
      <w:r w:rsidR="003F09FB">
        <w:rPr>
          <w:rFonts w:asciiTheme="minorHAnsi" w:hAnsiTheme="minorHAnsi" w:cstheme="minorHAnsi"/>
          <w:b w:val="0"/>
          <w:bCs/>
          <w:kern w:val="0"/>
          <w:sz w:val="22"/>
          <w:szCs w:val="22"/>
          <w:u w:val="single"/>
          <w:lang w:val="fr-FR"/>
        </w:rPr>
        <w:t>à texture bouclé</w:t>
      </w:r>
      <w:r w:rsidR="00535868">
        <w:rPr>
          <w:rFonts w:asciiTheme="minorHAnsi" w:hAnsiTheme="minorHAnsi" w:cstheme="minorHAnsi"/>
          <w:b w:val="0"/>
          <w:bCs/>
          <w:kern w:val="0"/>
          <w:sz w:val="22"/>
          <w:szCs w:val="22"/>
          <w:u w:val="single"/>
          <w:lang w:val="fr-FR"/>
        </w:rPr>
        <w:t>e</w:t>
      </w:r>
      <w:r w:rsidR="003F09FB">
        <w:rPr>
          <w:rFonts w:asciiTheme="minorHAnsi" w:hAnsiTheme="minorHAnsi" w:cstheme="minorHAnsi"/>
          <w:b w:val="0"/>
          <w:bCs/>
          <w:kern w:val="0"/>
          <w:sz w:val="22"/>
          <w:szCs w:val="22"/>
          <w:u w:val="single"/>
          <w:lang w:val="fr-FR"/>
        </w:rPr>
        <w:t xml:space="preserve"> </w:t>
      </w:r>
      <w:r w:rsidR="00C45976">
        <w:rPr>
          <w:rFonts w:asciiTheme="minorHAnsi" w:hAnsiTheme="minorHAnsi" w:cstheme="minorHAnsi"/>
          <w:b w:val="0"/>
          <w:bCs/>
          <w:kern w:val="0"/>
          <w:sz w:val="22"/>
          <w:szCs w:val="22"/>
          <w:u w:val="single"/>
          <w:lang w:val="fr-FR"/>
        </w:rPr>
        <w:t xml:space="preserve">fine </w:t>
      </w:r>
      <w:r w:rsidR="00483A39">
        <w:rPr>
          <w:rFonts w:asciiTheme="minorHAnsi" w:hAnsiTheme="minorHAnsi" w:cstheme="minorHAnsi"/>
          <w:b w:val="0"/>
          <w:bCs/>
          <w:kern w:val="0"/>
          <w:sz w:val="22"/>
          <w:szCs w:val="22"/>
          <w:u w:val="single"/>
          <w:lang w:val="fr-FR"/>
        </w:rPr>
        <w:t>en polyamide</w:t>
      </w:r>
      <w:r w:rsidR="003F09FB">
        <w:rPr>
          <w:rFonts w:asciiTheme="minorHAnsi" w:hAnsiTheme="minorHAnsi" w:cstheme="minorHAnsi"/>
          <w:b w:val="0"/>
          <w:bCs/>
          <w:kern w:val="0"/>
          <w:sz w:val="22"/>
          <w:szCs w:val="22"/>
          <w:u w:val="single"/>
          <w:lang w:val="fr-FR"/>
        </w:rPr>
        <w:t xml:space="preserve"> 6 Econyl</w:t>
      </w:r>
    </w:p>
    <w:p w14:paraId="38D03DD8" w14:textId="77777777" w:rsidR="00A11374" w:rsidRPr="00A11374" w:rsidRDefault="00A11374" w:rsidP="00A11374">
      <w:pPr>
        <w:rPr>
          <w:lang w:val="fr-FR" w:eastAsia="en-US" w:bidi="ar-SA"/>
        </w:rPr>
      </w:pPr>
    </w:p>
    <w:p w14:paraId="43FB83A5" w14:textId="77777777" w:rsidR="00D1062E" w:rsidRPr="00BF2D66" w:rsidRDefault="00D1062E" w:rsidP="00BF2D66">
      <w:pPr>
        <w:pStyle w:val="TxBrp1"/>
        <w:spacing w:line="276" w:lineRule="auto"/>
        <w:ind w:left="0" w:firstLine="0"/>
        <w:rPr>
          <w:rFonts w:asciiTheme="minorHAnsi" w:hAnsiTheme="minorHAnsi" w:cstheme="minorHAnsi"/>
          <w:sz w:val="22"/>
          <w:szCs w:val="22"/>
          <w:lang w:val="fr-FR"/>
        </w:rPr>
      </w:pPr>
    </w:p>
    <w:p w14:paraId="43FB83A6" w14:textId="77777777" w:rsidR="00AE718A" w:rsidRPr="00BF2D66" w:rsidRDefault="00AE718A" w:rsidP="00BF2D66">
      <w:pPr>
        <w:pStyle w:val="TxBrp1"/>
        <w:spacing w:line="276" w:lineRule="auto"/>
        <w:ind w:left="0" w:firstLine="0"/>
        <w:rPr>
          <w:rFonts w:asciiTheme="minorHAnsi" w:hAnsiTheme="minorHAnsi" w:cstheme="minorHAnsi"/>
          <w:sz w:val="22"/>
          <w:szCs w:val="22"/>
          <w:lang w:val="fr-FR"/>
        </w:rPr>
      </w:pPr>
      <w:r w:rsidRPr="00BF2D66">
        <w:rPr>
          <w:rFonts w:asciiTheme="minorHAnsi" w:hAnsiTheme="minorHAnsi" w:cstheme="minorHAnsi"/>
          <w:sz w:val="22"/>
          <w:szCs w:val="22"/>
          <w:lang w:val="fr-FR"/>
        </w:rPr>
        <w:t>Mesure</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 m², par mètre carré, selon type</w:t>
      </w:r>
    </w:p>
    <w:p w14:paraId="43FB83A7" w14:textId="77777777" w:rsidR="00AE718A" w:rsidRPr="00BF2D66" w:rsidRDefault="00AE718A" w:rsidP="00BF2D66">
      <w:pPr>
        <w:pStyle w:val="TxBrp1"/>
        <w:spacing w:line="276" w:lineRule="auto"/>
        <w:ind w:left="0" w:firstLine="0"/>
        <w:rPr>
          <w:rFonts w:asciiTheme="minorHAnsi" w:hAnsiTheme="minorHAnsi" w:cstheme="minorHAnsi"/>
          <w:sz w:val="22"/>
          <w:szCs w:val="22"/>
          <w:lang w:val="fr-FR"/>
        </w:rPr>
      </w:pPr>
      <w:r w:rsidRPr="00BF2D66">
        <w:rPr>
          <w:rFonts w:asciiTheme="minorHAnsi" w:hAnsiTheme="minorHAnsi" w:cstheme="minorHAnsi"/>
          <w:sz w:val="22"/>
          <w:szCs w:val="22"/>
          <w:lang w:val="fr-FR"/>
        </w:rPr>
        <w:t>Code de mesure</w:t>
      </w:r>
      <w:r w:rsidR="00F13CA1" w:rsidRPr="00BF2D66">
        <w:rPr>
          <w:rFonts w:asciiTheme="minorHAnsi" w:hAnsiTheme="minorHAnsi" w:cstheme="minorHAnsi"/>
          <w:sz w:val="22"/>
          <w:szCs w:val="22"/>
          <w:lang w:val="fr-FR"/>
        </w:rPr>
        <w:t> </w:t>
      </w:r>
      <w:r w:rsidRPr="00BF2D66">
        <w:rPr>
          <w:rFonts w:asciiTheme="minorHAnsi" w:hAnsiTheme="minorHAnsi" w:cstheme="minorHAnsi"/>
          <w:sz w:val="22"/>
          <w:szCs w:val="22"/>
          <w:lang w:val="fr-FR"/>
        </w:rPr>
        <w:t>: surface nette</w:t>
      </w:r>
    </w:p>
    <w:p w14:paraId="43FB83A8" w14:textId="77777777" w:rsidR="00AE718A" w:rsidRPr="00BF2D66" w:rsidRDefault="00AE718A" w:rsidP="00BF2D66">
      <w:pPr>
        <w:pStyle w:val="TxBrp1"/>
        <w:spacing w:line="276" w:lineRule="auto"/>
        <w:ind w:left="0" w:firstLine="0"/>
        <w:rPr>
          <w:rFonts w:asciiTheme="minorHAnsi" w:hAnsiTheme="minorHAnsi" w:cstheme="minorHAnsi"/>
          <w:sz w:val="22"/>
          <w:szCs w:val="22"/>
          <w:lang w:val="fr-FR"/>
        </w:rPr>
      </w:pPr>
    </w:p>
    <w:p w14:paraId="43FB83A9" w14:textId="77777777" w:rsidR="008F0120" w:rsidRPr="00BF2D66" w:rsidRDefault="008F0120" w:rsidP="00BF2D66">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Matériau</w:t>
      </w:r>
      <w:r w:rsidR="0043315C" w:rsidRPr="00BF2D66">
        <w:rPr>
          <w:rFonts w:asciiTheme="minorHAnsi" w:hAnsiTheme="minorHAnsi" w:cstheme="minorHAnsi"/>
          <w:sz w:val="22"/>
          <w:szCs w:val="22"/>
          <w:u w:val="single"/>
          <w:lang w:val="fr-FR"/>
        </w:rPr>
        <w:t xml:space="preserve"> </w:t>
      </w:r>
    </w:p>
    <w:p w14:paraId="43FB83AA" w14:textId="77777777" w:rsidR="00181120" w:rsidRPr="00BF2D66" w:rsidRDefault="00181120" w:rsidP="00BF2D66">
      <w:pPr>
        <w:spacing w:line="276" w:lineRule="auto"/>
        <w:rPr>
          <w:rFonts w:asciiTheme="minorHAnsi" w:hAnsiTheme="minorHAnsi" w:cstheme="minorHAnsi"/>
          <w:sz w:val="22"/>
          <w:szCs w:val="22"/>
          <w:u w:val="single"/>
          <w:lang w:val="fr-FR"/>
        </w:rPr>
      </w:pPr>
    </w:p>
    <w:p w14:paraId="3C09CB27" w14:textId="34070ACF" w:rsidR="003F09FB" w:rsidRPr="003F09FB" w:rsidRDefault="003F09FB" w:rsidP="003F09FB">
      <w:pPr>
        <w:pStyle w:val="TxBrp4"/>
        <w:spacing w:line="276" w:lineRule="auto"/>
        <w:jc w:val="both"/>
        <w:rPr>
          <w:rFonts w:asciiTheme="minorHAnsi" w:hAnsiTheme="minorHAnsi" w:cstheme="minorHAnsi"/>
          <w:sz w:val="22"/>
          <w:szCs w:val="22"/>
          <w:lang w:val="fr-FR"/>
        </w:rPr>
      </w:pPr>
      <w:r w:rsidRPr="003F09FB">
        <w:rPr>
          <w:rFonts w:asciiTheme="minorHAnsi" w:hAnsiTheme="minorHAnsi" w:cstheme="minorHAnsi"/>
          <w:sz w:val="22"/>
          <w:szCs w:val="22"/>
          <w:lang w:val="fr-FR"/>
        </w:rPr>
        <w:t>Dalle de moquette t</w:t>
      </w:r>
      <w:r>
        <w:rPr>
          <w:rFonts w:asciiTheme="minorHAnsi" w:hAnsiTheme="minorHAnsi" w:cstheme="minorHAnsi"/>
          <w:sz w:val="22"/>
          <w:szCs w:val="22"/>
          <w:lang w:val="fr-FR"/>
        </w:rPr>
        <w:t>ufté</w:t>
      </w:r>
      <w:r w:rsidRPr="003F09FB">
        <w:rPr>
          <w:rFonts w:asciiTheme="minorHAnsi" w:hAnsiTheme="minorHAnsi" w:cstheme="minorHAnsi"/>
          <w:sz w:val="22"/>
          <w:szCs w:val="22"/>
          <w:lang w:val="fr-FR"/>
        </w:rPr>
        <w:t>e au format 50 x 50 cm avec une structure bouclée fine.  Le matériau des poils est composé à 100% de fils Econyl régénérés e</w:t>
      </w:r>
      <w:r>
        <w:rPr>
          <w:rFonts w:asciiTheme="minorHAnsi" w:hAnsiTheme="minorHAnsi" w:cstheme="minorHAnsi"/>
          <w:sz w:val="22"/>
          <w:szCs w:val="22"/>
          <w:lang w:val="fr-FR"/>
        </w:rPr>
        <w:t>t teintés</w:t>
      </w:r>
      <w:r w:rsidRPr="003F09FB">
        <w:rPr>
          <w:rFonts w:asciiTheme="minorHAnsi" w:hAnsiTheme="minorHAnsi" w:cstheme="minorHAnsi"/>
          <w:sz w:val="22"/>
          <w:szCs w:val="22"/>
          <w:lang w:val="fr-FR"/>
        </w:rPr>
        <w:t xml:space="preserve"> dans la masse.  </w:t>
      </w:r>
      <w:r w:rsidR="00695EEB" w:rsidRPr="003F09FB">
        <w:rPr>
          <w:rFonts w:asciiTheme="minorHAnsi" w:hAnsiTheme="minorHAnsi" w:cstheme="minorHAnsi"/>
          <w:sz w:val="22"/>
          <w:szCs w:val="22"/>
          <w:lang w:val="fr-FR"/>
        </w:rPr>
        <w:t xml:space="preserve">Le poids des poils est de 500 gr/m² et le poids total est de 3815 gr/m².  </w:t>
      </w:r>
    </w:p>
    <w:p w14:paraId="5EC36AA3" w14:textId="77777777" w:rsidR="003F09FB" w:rsidRPr="003F09FB" w:rsidRDefault="003F09FB" w:rsidP="003F09FB">
      <w:pPr>
        <w:pStyle w:val="TxBrp4"/>
        <w:spacing w:line="276" w:lineRule="auto"/>
        <w:jc w:val="both"/>
        <w:rPr>
          <w:rFonts w:asciiTheme="minorHAnsi" w:hAnsiTheme="minorHAnsi" w:cstheme="minorHAnsi"/>
          <w:sz w:val="22"/>
          <w:szCs w:val="22"/>
          <w:lang w:val="fr-FR"/>
        </w:rPr>
      </w:pPr>
    </w:p>
    <w:p w14:paraId="09DED665" w14:textId="1CB562F4" w:rsidR="003F09FB" w:rsidRPr="003F09FB" w:rsidRDefault="003F09FB" w:rsidP="003F09FB">
      <w:pPr>
        <w:pStyle w:val="TxBrp4"/>
        <w:spacing w:line="276" w:lineRule="auto"/>
        <w:jc w:val="both"/>
        <w:rPr>
          <w:rFonts w:asciiTheme="minorHAnsi" w:hAnsiTheme="minorHAnsi" w:cstheme="minorHAnsi"/>
          <w:sz w:val="22"/>
          <w:szCs w:val="22"/>
          <w:lang w:val="fr-FR"/>
        </w:rPr>
      </w:pPr>
      <w:r w:rsidRPr="003F09FB">
        <w:rPr>
          <w:rFonts w:asciiTheme="minorHAnsi" w:hAnsiTheme="minorHAnsi" w:cstheme="minorHAnsi"/>
          <w:sz w:val="22"/>
          <w:szCs w:val="22"/>
          <w:lang w:val="fr-FR"/>
        </w:rPr>
        <w:t>La dalle de moquette répond à la classe de charge 33 pour les applications de projets lourds.</w:t>
      </w:r>
      <w:r w:rsidR="00730720">
        <w:rPr>
          <w:rFonts w:asciiTheme="minorHAnsi" w:hAnsiTheme="minorHAnsi" w:cstheme="minorHAnsi"/>
          <w:sz w:val="22"/>
          <w:szCs w:val="22"/>
          <w:lang w:val="fr-FR"/>
        </w:rPr>
        <w:t xml:space="preserve">  Le fabricant offre une garantie produit de 10 ans.</w:t>
      </w:r>
    </w:p>
    <w:p w14:paraId="44D398BD" w14:textId="77777777" w:rsidR="003F09FB" w:rsidRPr="003F09FB" w:rsidRDefault="003F09FB" w:rsidP="003F09FB">
      <w:pPr>
        <w:pStyle w:val="TxBrp4"/>
        <w:spacing w:line="276" w:lineRule="auto"/>
        <w:jc w:val="both"/>
        <w:rPr>
          <w:rFonts w:asciiTheme="minorHAnsi" w:hAnsiTheme="minorHAnsi" w:cstheme="minorHAnsi"/>
          <w:sz w:val="22"/>
          <w:szCs w:val="22"/>
          <w:lang w:val="fr-FR"/>
        </w:rPr>
      </w:pPr>
    </w:p>
    <w:p w14:paraId="04975F68" w14:textId="17763259" w:rsidR="003F09FB" w:rsidRPr="003F09FB" w:rsidRDefault="00104510" w:rsidP="003F09FB">
      <w:pPr>
        <w:pStyle w:val="TxBrp4"/>
        <w:spacing w:line="276" w:lineRule="auto"/>
        <w:jc w:val="both"/>
        <w:rPr>
          <w:rFonts w:asciiTheme="minorHAnsi" w:hAnsiTheme="minorHAnsi" w:cstheme="minorHAnsi"/>
          <w:sz w:val="22"/>
          <w:szCs w:val="22"/>
          <w:lang w:val="fr-FR"/>
        </w:rPr>
      </w:pPr>
      <w:r w:rsidRPr="00104510">
        <w:rPr>
          <w:rFonts w:asciiTheme="minorHAnsi" w:hAnsiTheme="minorHAnsi" w:cstheme="minorHAnsi"/>
          <w:sz w:val="22"/>
          <w:szCs w:val="22"/>
          <w:lang w:val="fr-FR"/>
        </w:rPr>
        <w:t>Un choix peut être fait parmi au moins 18 couleurs semi-unies.</w:t>
      </w:r>
      <w:r>
        <w:rPr>
          <w:rFonts w:asciiTheme="minorHAnsi" w:hAnsiTheme="minorHAnsi" w:cstheme="minorHAnsi"/>
          <w:sz w:val="22"/>
          <w:szCs w:val="22"/>
          <w:lang w:val="fr-FR"/>
        </w:rPr>
        <w:t xml:space="preserve">  Les </w:t>
      </w:r>
      <w:r w:rsidR="003F09FB" w:rsidRPr="003F09FB">
        <w:rPr>
          <w:rFonts w:asciiTheme="minorHAnsi" w:hAnsiTheme="minorHAnsi" w:cstheme="minorHAnsi"/>
          <w:sz w:val="22"/>
          <w:szCs w:val="22"/>
          <w:lang w:val="fr-FR"/>
        </w:rPr>
        <w:t>dalle</w:t>
      </w:r>
      <w:r>
        <w:rPr>
          <w:rFonts w:asciiTheme="minorHAnsi" w:hAnsiTheme="minorHAnsi" w:cstheme="minorHAnsi"/>
          <w:sz w:val="22"/>
          <w:szCs w:val="22"/>
          <w:lang w:val="fr-FR"/>
        </w:rPr>
        <w:t>s</w:t>
      </w:r>
      <w:r w:rsidR="003F09FB" w:rsidRPr="003F09FB">
        <w:rPr>
          <w:rFonts w:asciiTheme="minorHAnsi" w:hAnsiTheme="minorHAnsi" w:cstheme="minorHAnsi"/>
          <w:sz w:val="22"/>
          <w:szCs w:val="22"/>
          <w:lang w:val="fr-FR"/>
        </w:rPr>
        <w:t xml:space="preserve"> de moquette peu</w:t>
      </w:r>
      <w:r>
        <w:rPr>
          <w:rFonts w:asciiTheme="minorHAnsi" w:hAnsiTheme="minorHAnsi" w:cstheme="minorHAnsi"/>
          <w:sz w:val="22"/>
          <w:szCs w:val="22"/>
          <w:lang w:val="fr-FR"/>
        </w:rPr>
        <w:t>vent</w:t>
      </w:r>
      <w:r w:rsidR="003F09FB" w:rsidRPr="003F09FB">
        <w:rPr>
          <w:rFonts w:asciiTheme="minorHAnsi" w:hAnsiTheme="minorHAnsi" w:cstheme="minorHAnsi"/>
          <w:sz w:val="22"/>
          <w:szCs w:val="22"/>
          <w:lang w:val="fr-FR"/>
        </w:rPr>
        <w:t xml:space="preserve"> être installée</w:t>
      </w:r>
      <w:r w:rsidR="003D6E81">
        <w:rPr>
          <w:rFonts w:asciiTheme="minorHAnsi" w:hAnsiTheme="minorHAnsi" w:cstheme="minorHAnsi"/>
          <w:sz w:val="22"/>
          <w:szCs w:val="22"/>
          <w:lang w:val="fr-FR"/>
        </w:rPr>
        <w:t>s</w:t>
      </w:r>
      <w:r w:rsidR="003F09FB" w:rsidRPr="003F09FB">
        <w:rPr>
          <w:rFonts w:asciiTheme="minorHAnsi" w:hAnsiTheme="minorHAnsi" w:cstheme="minorHAnsi"/>
          <w:sz w:val="22"/>
          <w:szCs w:val="22"/>
          <w:lang w:val="fr-FR"/>
        </w:rPr>
        <w:t xml:space="preserve"> de manière monolithique, avec un quart de tour ou en alternance.</w:t>
      </w:r>
    </w:p>
    <w:p w14:paraId="3E33DCF7" w14:textId="77777777" w:rsidR="003F09FB" w:rsidRPr="003F09FB" w:rsidRDefault="003F09FB" w:rsidP="003F09FB">
      <w:pPr>
        <w:pStyle w:val="TxBrp4"/>
        <w:spacing w:line="276" w:lineRule="auto"/>
        <w:jc w:val="both"/>
        <w:rPr>
          <w:rFonts w:asciiTheme="minorHAnsi" w:hAnsiTheme="minorHAnsi" w:cstheme="minorHAnsi"/>
          <w:sz w:val="22"/>
          <w:szCs w:val="22"/>
          <w:lang w:val="fr-FR"/>
        </w:rPr>
      </w:pPr>
    </w:p>
    <w:p w14:paraId="370137DD" w14:textId="6A018B6B" w:rsidR="00B47B8D" w:rsidRDefault="003F09FB" w:rsidP="003F09FB">
      <w:pPr>
        <w:pStyle w:val="TxBrp4"/>
        <w:spacing w:line="276" w:lineRule="auto"/>
        <w:jc w:val="both"/>
        <w:rPr>
          <w:rFonts w:asciiTheme="minorHAnsi" w:hAnsiTheme="minorHAnsi" w:cstheme="minorHAnsi"/>
          <w:sz w:val="22"/>
          <w:szCs w:val="22"/>
          <w:lang w:val="fr-FR"/>
        </w:rPr>
      </w:pPr>
      <w:r w:rsidRPr="003F09FB">
        <w:rPr>
          <w:rFonts w:asciiTheme="minorHAnsi" w:hAnsiTheme="minorHAnsi" w:cstheme="minorHAnsi"/>
          <w:sz w:val="22"/>
          <w:szCs w:val="22"/>
          <w:lang w:val="fr-FR"/>
        </w:rPr>
        <w:t xml:space="preserve">La valeur d'absorption acoustique est de 0,15 aw, et la réduction du bruit d'impact est de 25dB.  </w:t>
      </w:r>
      <w:r w:rsidR="00647145" w:rsidRPr="003F09FB">
        <w:rPr>
          <w:rFonts w:asciiTheme="minorHAnsi" w:hAnsiTheme="minorHAnsi" w:cstheme="minorHAnsi"/>
          <w:sz w:val="22"/>
          <w:szCs w:val="22"/>
          <w:lang w:val="fr-FR"/>
        </w:rPr>
        <w:t>La dalle de moquette a une classe de feu Bfl-S1.</w:t>
      </w:r>
    </w:p>
    <w:p w14:paraId="5509B221" w14:textId="77777777" w:rsidR="00EB1E5B" w:rsidRPr="003F09FB" w:rsidRDefault="00EB1E5B" w:rsidP="003F09FB">
      <w:pPr>
        <w:pStyle w:val="TxBrp4"/>
        <w:spacing w:line="276" w:lineRule="auto"/>
        <w:jc w:val="both"/>
        <w:rPr>
          <w:rFonts w:asciiTheme="minorHAnsi" w:hAnsiTheme="minorHAnsi" w:cstheme="minorHAnsi"/>
          <w:sz w:val="22"/>
          <w:szCs w:val="22"/>
          <w:lang w:val="fr-FR"/>
        </w:rPr>
      </w:pPr>
    </w:p>
    <w:p w14:paraId="4234FD23" w14:textId="68BB813F" w:rsidR="003F09FB" w:rsidRPr="003F09FB" w:rsidRDefault="00B47B8D" w:rsidP="003F09FB">
      <w:pPr>
        <w:pStyle w:val="TxBrp4"/>
        <w:spacing w:line="276" w:lineRule="auto"/>
        <w:jc w:val="both"/>
        <w:rPr>
          <w:rFonts w:asciiTheme="minorHAnsi" w:hAnsiTheme="minorHAnsi" w:cstheme="minorHAnsi"/>
          <w:sz w:val="22"/>
          <w:szCs w:val="22"/>
          <w:lang w:val="fr-FR"/>
        </w:rPr>
      </w:pPr>
      <w:r w:rsidRPr="00B47B8D">
        <w:rPr>
          <w:rFonts w:asciiTheme="minorHAnsi" w:hAnsiTheme="minorHAnsi" w:cstheme="minorHAnsi"/>
          <w:sz w:val="22"/>
          <w:szCs w:val="22"/>
          <w:lang w:val="fr-FR"/>
        </w:rPr>
        <w:t xml:space="preserve">La dalle </w:t>
      </w:r>
      <w:r w:rsidR="007746FA">
        <w:rPr>
          <w:rFonts w:asciiTheme="minorHAnsi" w:hAnsiTheme="minorHAnsi" w:cstheme="minorHAnsi"/>
          <w:sz w:val="22"/>
          <w:szCs w:val="22"/>
          <w:lang w:val="fr-FR"/>
        </w:rPr>
        <w:t>est composée de</w:t>
      </w:r>
      <w:r w:rsidRPr="00B47B8D">
        <w:rPr>
          <w:rFonts w:asciiTheme="minorHAnsi" w:hAnsiTheme="minorHAnsi" w:cstheme="minorHAnsi"/>
          <w:sz w:val="22"/>
          <w:szCs w:val="22"/>
          <w:lang w:val="fr-FR"/>
        </w:rPr>
        <w:t xml:space="preserve"> </w:t>
      </w:r>
      <w:r>
        <w:rPr>
          <w:rFonts w:asciiTheme="minorHAnsi" w:hAnsiTheme="minorHAnsi" w:cstheme="minorHAnsi"/>
          <w:sz w:val="22"/>
          <w:szCs w:val="22"/>
          <w:lang w:val="fr-FR"/>
        </w:rPr>
        <w:t>7</w:t>
      </w:r>
      <w:r w:rsidR="00AE2B50">
        <w:rPr>
          <w:rFonts w:asciiTheme="minorHAnsi" w:hAnsiTheme="minorHAnsi" w:cstheme="minorHAnsi"/>
          <w:sz w:val="22"/>
          <w:szCs w:val="22"/>
          <w:lang w:val="fr-FR"/>
        </w:rPr>
        <w:t>5</w:t>
      </w:r>
      <w:r w:rsidRPr="00B47B8D">
        <w:rPr>
          <w:rFonts w:asciiTheme="minorHAnsi" w:hAnsiTheme="minorHAnsi" w:cstheme="minorHAnsi"/>
          <w:sz w:val="22"/>
          <w:szCs w:val="22"/>
          <w:lang w:val="fr-FR"/>
        </w:rPr>
        <w:t xml:space="preserve"> % de matières recyclées en poids. L’EPD indépendante indique que la dalle de moquette contient seulement </w:t>
      </w:r>
      <w:r w:rsidR="00B15562">
        <w:rPr>
          <w:rFonts w:asciiTheme="minorHAnsi" w:hAnsiTheme="minorHAnsi" w:cstheme="minorHAnsi"/>
          <w:sz w:val="22"/>
          <w:szCs w:val="22"/>
          <w:lang w:val="fr-FR"/>
        </w:rPr>
        <w:t>0</w:t>
      </w:r>
      <w:r w:rsidR="003C1895">
        <w:rPr>
          <w:rFonts w:asciiTheme="minorHAnsi" w:hAnsiTheme="minorHAnsi" w:cstheme="minorHAnsi"/>
          <w:sz w:val="22"/>
          <w:szCs w:val="22"/>
          <w:lang w:val="fr-FR"/>
        </w:rPr>
        <w:t>,</w:t>
      </w:r>
      <w:r w:rsidR="00B15562">
        <w:rPr>
          <w:rFonts w:asciiTheme="minorHAnsi" w:hAnsiTheme="minorHAnsi" w:cstheme="minorHAnsi"/>
          <w:sz w:val="22"/>
          <w:szCs w:val="22"/>
          <w:lang w:val="fr-FR"/>
        </w:rPr>
        <w:t>84</w:t>
      </w:r>
      <w:r w:rsidRPr="00B47B8D">
        <w:rPr>
          <w:rFonts w:asciiTheme="minorHAnsi" w:hAnsiTheme="minorHAnsi" w:cstheme="minorHAnsi"/>
          <w:sz w:val="22"/>
          <w:szCs w:val="22"/>
          <w:lang w:val="fr-FR"/>
        </w:rPr>
        <w:t xml:space="preserve"> kg de CO₂ par m², sans compensation (A1-A3). La production est réalisée à 100 % à partir d’électricité verte.</w:t>
      </w:r>
    </w:p>
    <w:p w14:paraId="164BB7A7" w14:textId="77777777" w:rsidR="004572B2" w:rsidRDefault="004572B2" w:rsidP="003F09FB">
      <w:pPr>
        <w:pStyle w:val="TxBrp4"/>
        <w:spacing w:line="276" w:lineRule="auto"/>
        <w:jc w:val="both"/>
        <w:rPr>
          <w:rFonts w:asciiTheme="minorHAnsi" w:hAnsiTheme="minorHAnsi" w:cstheme="minorHAnsi"/>
          <w:sz w:val="22"/>
          <w:szCs w:val="22"/>
          <w:lang w:val="fr-FR"/>
        </w:rPr>
      </w:pPr>
    </w:p>
    <w:p w14:paraId="6B561540" w14:textId="77777777" w:rsidR="002D6A25" w:rsidRPr="007300FD" w:rsidRDefault="002D6A25" w:rsidP="002D6A25">
      <w:pPr>
        <w:pStyle w:val="TxBrp4"/>
        <w:spacing w:line="276" w:lineRule="auto"/>
        <w:rPr>
          <w:rFonts w:ascii="Calibri" w:hAnsi="Calibri" w:cs="Arial"/>
          <w:sz w:val="22"/>
          <w:szCs w:val="22"/>
        </w:rPr>
      </w:pPr>
      <w:r w:rsidRPr="007300FD">
        <w:rPr>
          <w:rFonts w:ascii="Calibri" w:hAnsi="Calibri" w:cs="Arial"/>
          <w:sz w:val="22"/>
          <w:szCs w:val="22"/>
        </w:rPr>
        <w:t>Les chutes issues de l’installation peuvent être reprises dans le cadre du programme « Back to the Floor » du fabricant, en vue de leur recyclage.</w:t>
      </w:r>
    </w:p>
    <w:p w14:paraId="607A24E5" w14:textId="77777777" w:rsidR="002D6A25" w:rsidRPr="007300FD" w:rsidRDefault="002D6A25" w:rsidP="002D6A25">
      <w:pPr>
        <w:pStyle w:val="TxBrp4"/>
        <w:spacing w:line="276" w:lineRule="auto"/>
        <w:rPr>
          <w:rFonts w:ascii="Calibri" w:hAnsi="Calibri" w:cs="Arial"/>
          <w:sz w:val="22"/>
          <w:szCs w:val="22"/>
        </w:rPr>
      </w:pPr>
    </w:p>
    <w:p w14:paraId="48E64DB7" w14:textId="77777777" w:rsidR="002D6A25" w:rsidRPr="007300FD" w:rsidRDefault="002D6A25" w:rsidP="002D6A25">
      <w:pPr>
        <w:pStyle w:val="TxBrp4"/>
        <w:spacing w:line="276" w:lineRule="auto"/>
        <w:rPr>
          <w:rFonts w:ascii="Calibri" w:hAnsi="Calibri" w:cs="Arial"/>
          <w:sz w:val="22"/>
          <w:szCs w:val="22"/>
        </w:rPr>
      </w:pPr>
      <w:r w:rsidRPr="007300FD">
        <w:rPr>
          <w:rFonts w:ascii="Calibri" w:hAnsi="Calibri" w:cs="Arial"/>
          <w:sz w:val="22"/>
          <w:szCs w:val="22"/>
        </w:rPr>
        <w:t xml:space="preserve">La contribution à un air intérieur sain est assurée par le certificat Prodis-Gut, le label Indoor Air Comfort Gold et le </w:t>
      </w:r>
      <w:r>
        <w:rPr>
          <w:rFonts w:ascii="Calibri" w:hAnsi="Calibri" w:cs="Arial"/>
          <w:sz w:val="22"/>
          <w:szCs w:val="22"/>
        </w:rPr>
        <w:t>certificat</w:t>
      </w:r>
      <w:r w:rsidRPr="007300FD">
        <w:rPr>
          <w:rFonts w:ascii="Calibri" w:hAnsi="Calibri" w:cs="Arial"/>
          <w:sz w:val="22"/>
          <w:szCs w:val="22"/>
        </w:rPr>
        <w:t xml:space="preserve"> AgBB.</w:t>
      </w:r>
    </w:p>
    <w:p w14:paraId="46404E3B" w14:textId="77777777" w:rsidR="002D6A25" w:rsidRPr="007300FD" w:rsidRDefault="002D6A25" w:rsidP="002D6A25">
      <w:pPr>
        <w:pStyle w:val="TxBrp4"/>
        <w:spacing w:line="276" w:lineRule="auto"/>
        <w:rPr>
          <w:rFonts w:ascii="Calibri" w:hAnsi="Calibri" w:cs="Arial"/>
          <w:sz w:val="22"/>
          <w:szCs w:val="22"/>
        </w:rPr>
      </w:pPr>
    </w:p>
    <w:p w14:paraId="2C0604BA" w14:textId="77777777" w:rsidR="002D6A25" w:rsidRPr="007300FD" w:rsidRDefault="002D6A25" w:rsidP="002D6A25">
      <w:pPr>
        <w:pStyle w:val="TxBrp4"/>
        <w:spacing w:line="276" w:lineRule="auto"/>
        <w:rPr>
          <w:rFonts w:ascii="Calibri" w:hAnsi="Calibri" w:cs="Arial"/>
          <w:sz w:val="22"/>
          <w:szCs w:val="22"/>
        </w:rPr>
      </w:pPr>
      <w:r w:rsidRPr="007300FD">
        <w:rPr>
          <w:rFonts w:ascii="Calibri" w:hAnsi="Calibri" w:cs="Arial"/>
          <w:sz w:val="22"/>
          <w:szCs w:val="22"/>
        </w:rPr>
        <w:t>Le fabricant est certifié ISO 9001, ISO 14001, ISO 45001 et SA 8000.</w:t>
      </w:r>
    </w:p>
    <w:p w14:paraId="7CEF0D96" w14:textId="77777777" w:rsidR="003A04D1" w:rsidRDefault="003A04D1" w:rsidP="00BF2D66">
      <w:pPr>
        <w:pStyle w:val="TxBrp4"/>
        <w:spacing w:line="276" w:lineRule="auto"/>
        <w:rPr>
          <w:rFonts w:asciiTheme="minorHAnsi" w:hAnsiTheme="minorHAnsi" w:cstheme="minorHAnsi"/>
          <w:sz w:val="22"/>
          <w:szCs w:val="22"/>
          <w:u w:val="single"/>
        </w:rPr>
      </w:pPr>
    </w:p>
    <w:p w14:paraId="39E1F774" w14:textId="77777777" w:rsidR="002D6A25" w:rsidRDefault="002D6A25" w:rsidP="00BF2D66">
      <w:pPr>
        <w:pStyle w:val="TxBrp4"/>
        <w:spacing w:line="276" w:lineRule="auto"/>
        <w:rPr>
          <w:rFonts w:asciiTheme="minorHAnsi" w:hAnsiTheme="minorHAnsi" w:cstheme="minorHAnsi"/>
          <w:sz w:val="22"/>
          <w:szCs w:val="22"/>
          <w:u w:val="single"/>
        </w:rPr>
      </w:pPr>
    </w:p>
    <w:p w14:paraId="7CCD79DC" w14:textId="77777777" w:rsidR="002D6A25" w:rsidRDefault="002D6A25" w:rsidP="00BF2D66">
      <w:pPr>
        <w:pStyle w:val="TxBrp4"/>
        <w:spacing w:line="276" w:lineRule="auto"/>
        <w:rPr>
          <w:rFonts w:asciiTheme="minorHAnsi" w:hAnsiTheme="minorHAnsi" w:cstheme="minorHAnsi"/>
          <w:sz w:val="22"/>
          <w:szCs w:val="22"/>
          <w:u w:val="single"/>
        </w:rPr>
      </w:pPr>
    </w:p>
    <w:p w14:paraId="40A02004" w14:textId="77777777" w:rsidR="002D6A25" w:rsidRDefault="002D6A25" w:rsidP="00BF2D66">
      <w:pPr>
        <w:pStyle w:val="TxBrp4"/>
        <w:spacing w:line="276" w:lineRule="auto"/>
        <w:rPr>
          <w:rFonts w:asciiTheme="minorHAnsi" w:hAnsiTheme="minorHAnsi" w:cstheme="minorHAnsi"/>
          <w:sz w:val="22"/>
          <w:szCs w:val="22"/>
          <w:u w:val="single"/>
        </w:rPr>
      </w:pPr>
    </w:p>
    <w:p w14:paraId="420745B2" w14:textId="77777777" w:rsidR="002D6A25" w:rsidRDefault="002D6A25" w:rsidP="00BF2D66">
      <w:pPr>
        <w:pStyle w:val="TxBrp4"/>
        <w:spacing w:line="276" w:lineRule="auto"/>
        <w:rPr>
          <w:rFonts w:asciiTheme="minorHAnsi" w:hAnsiTheme="minorHAnsi" w:cstheme="minorHAnsi"/>
          <w:sz w:val="22"/>
          <w:szCs w:val="22"/>
          <w:u w:val="single"/>
        </w:rPr>
      </w:pPr>
    </w:p>
    <w:p w14:paraId="078FFB55" w14:textId="77777777" w:rsidR="002D6A25" w:rsidRDefault="002D6A25" w:rsidP="00BF2D66">
      <w:pPr>
        <w:pStyle w:val="TxBrp4"/>
        <w:spacing w:line="276" w:lineRule="auto"/>
        <w:rPr>
          <w:rFonts w:asciiTheme="minorHAnsi" w:hAnsiTheme="minorHAnsi" w:cstheme="minorHAnsi"/>
          <w:sz w:val="22"/>
          <w:szCs w:val="22"/>
          <w:u w:val="single"/>
        </w:rPr>
      </w:pPr>
    </w:p>
    <w:p w14:paraId="3A5C02DA" w14:textId="77777777" w:rsidR="002D6A25" w:rsidRDefault="002D6A25" w:rsidP="00BF2D66">
      <w:pPr>
        <w:pStyle w:val="TxBrp4"/>
        <w:spacing w:line="276" w:lineRule="auto"/>
        <w:rPr>
          <w:rFonts w:asciiTheme="minorHAnsi" w:hAnsiTheme="minorHAnsi" w:cstheme="minorHAnsi"/>
          <w:sz w:val="22"/>
          <w:szCs w:val="22"/>
          <w:u w:val="single"/>
        </w:rPr>
      </w:pPr>
    </w:p>
    <w:p w14:paraId="7B5A7EF0" w14:textId="77777777" w:rsidR="002D6A25" w:rsidRPr="002D6A25" w:rsidRDefault="002D6A25" w:rsidP="00BF2D66">
      <w:pPr>
        <w:pStyle w:val="TxBrp4"/>
        <w:spacing w:line="276" w:lineRule="auto"/>
        <w:rPr>
          <w:rFonts w:asciiTheme="minorHAnsi" w:hAnsiTheme="minorHAnsi" w:cstheme="minorHAnsi"/>
          <w:sz w:val="22"/>
          <w:szCs w:val="22"/>
          <w:u w:val="single"/>
        </w:rPr>
      </w:pPr>
    </w:p>
    <w:p w14:paraId="43FB83B2" w14:textId="7A7BDD8B" w:rsidR="00D1062E" w:rsidRDefault="00D1062E" w:rsidP="00BF2D66">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w:t>
      </w:r>
      <w:r w:rsidR="008F0120" w:rsidRPr="00BF2D66">
        <w:rPr>
          <w:rFonts w:asciiTheme="minorHAnsi" w:hAnsiTheme="minorHAnsi" w:cstheme="minorHAnsi"/>
          <w:sz w:val="22"/>
          <w:szCs w:val="22"/>
          <w:u w:val="single"/>
          <w:lang w:val="fr-FR"/>
        </w:rPr>
        <w:t>ications techniques selon EN 1307</w:t>
      </w:r>
      <w:r w:rsidRPr="00BF2D66">
        <w:rPr>
          <w:rFonts w:asciiTheme="minorHAnsi" w:hAnsiTheme="minorHAnsi" w:cstheme="minorHAnsi"/>
          <w:sz w:val="22"/>
          <w:szCs w:val="22"/>
          <w:u w:val="single"/>
          <w:lang w:val="fr-FR"/>
        </w:rPr>
        <w:t xml:space="preserve"> et</w:t>
      </w:r>
      <w:r w:rsidR="00195A8A" w:rsidRPr="00BF2D66">
        <w:rPr>
          <w:rFonts w:asciiTheme="minorHAnsi" w:hAnsiTheme="minorHAnsi" w:cstheme="minorHAnsi"/>
          <w:sz w:val="22"/>
          <w:szCs w:val="22"/>
          <w:u w:val="single"/>
          <w:lang w:val="fr-FR"/>
        </w:rPr>
        <w:t xml:space="preserve"> EN</w:t>
      </w:r>
      <w:r w:rsidRPr="00BF2D66">
        <w:rPr>
          <w:rFonts w:asciiTheme="minorHAnsi" w:hAnsiTheme="minorHAnsi" w:cstheme="minorHAnsi"/>
          <w:sz w:val="22"/>
          <w:szCs w:val="22"/>
          <w:u w:val="single"/>
          <w:lang w:val="fr-FR"/>
        </w:rPr>
        <w:t xml:space="preserve"> 14041</w:t>
      </w:r>
    </w:p>
    <w:p w14:paraId="5EE7A9F7" w14:textId="77777777" w:rsidR="00EB0C5E" w:rsidRPr="00BF2D66" w:rsidRDefault="00EB0C5E" w:rsidP="00BF2D66">
      <w:pPr>
        <w:pStyle w:val="TxBrp4"/>
        <w:spacing w:line="276" w:lineRule="auto"/>
        <w:rPr>
          <w:rFonts w:asciiTheme="minorHAnsi" w:hAnsiTheme="minorHAnsi" w:cstheme="minorHAnsi"/>
          <w:sz w:val="22"/>
          <w:szCs w:val="22"/>
          <w:u w:val="single"/>
          <w:lang w:val="fr-FR"/>
        </w:rPr>
      </w:pPr>
    </w:p>
    <w:tbl>
      <w:tblPr>
        <w:tblStyle w:val="Tabelraster"/>
        <w:tblW w:w="10031" w:type="dxa"/>
        <w:tblLayout w:type="fixed"/>
        <w:tblLook w:val="04A0" w:firstRow="1" w:lastRow="0" w:firstColumn="1" w:lastColumn="0" w:noHBand="0" w:noVBand="1"/>
      </w:tblPr>
      <w:tblGrid>
        <w:gridCol w:w="3227"/>
        <w:gridCol w:w="1304"/>
        <w:gridCol w:w="5500"/>
      </w:tblGrid>
      <w:tr w:rsidR="001D57B1" w:rsidRPr="00BF2D66" w14:paraId="43FB83B7" w14:textId="77777777" w:rsidTr="00E93E19">
        <w:trPr>
          <w:trHeight w:val="283"/>
        </w:trPr>
        <w:tc>
          <w:tcPr>
            <w:tcW w:w="3227" w:type="dxa"/>
          </w:tcPr>
          <w:p w14:paraId="43FB83B4" w14:textId="77777777" w:rsidR="001D57B1" w:rsidRPr="00BF2D66" w:rsidRDefault="00AB6AD2"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304" w:type="dxa"/>
          </w:tcPr>
          <w:p w14:paraId="43FB83B5"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3B6" w14:textId="77777777" w:rsidR="001D57B1" w:rsidRPr="00BF2D66" w:rsidRDefault="008E5F52"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Dalle de tapis tufté,</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bouclé</w:t>
            </w:r>
          </w:p>
        </w:tc>
      </w:tr>
      <w:tr w:rsidR="001D57B1" w:rsidRPr="00BF2D66" w14:paraId="43FB83BB" w14:textId="77777777" w:rsidTr="00E93E19">
        <w:trPr>
          <w:trHeight w:val="283"/>
        </w:trPr>
        <w:tc>
          <w:tcPr>
            <w:tcW w:w="3227" w:type="dxa"/>
          </w:tcPr>
          <w:p w14:paraId="43FB83B8"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304" w:type="dxa"/>
          </w:tcPr>
          <w:p w14:paraId="43FB83B9" w14:textId="4DB6CE29" w:rsidR="001D57B1" w:rsidRPr="00BF2D66" w:rsidRDefault="00F223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500" w:type="dxa"/>
          </w:tcPr>
          <w:p w14:paraId="43FB83BA"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1D57B1" w:rsidRPr="00BF2D66" w14:paraId="43FB83BF" w14:textId="77777777" w:rsidTr="00E93E19">
        <w:trPr>
          <w:trHeight w:val="283"/>
        </w:trPr>
        <w:tc>
          <w:tcPr>
            <w:tcW w:w="3227" w:type="dxa"/>
          </w:tcPr>
          <w:p w14:paraId="43FB83BC"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304" w:type="dxa"/>
          </w:tcPr>
          <w:p w14:paraId="43FB83BD" w14:textId="5056D328" w:rsidR="001D57B1" w:rsidRPr="006C262A" w:rsidRDefault="006C262A" w:rsidP="00BF2D66">
            <w:pPr>
              <w:widowControl/>
              <w:autoSpaceDE/>
              <w:autoSpaceDN/>
              <w:adjustRightInd/>
              <w:spacing w:line="276" w:lineRule="auto"/>
              <w:rPr>
                <w:rFonts w:asciiTheme="minorHAnsi" w:hAnsiTheme="minorHAnsi" w:cstheme="minorHAnsi"/>
                <w:sz w:val="22"/>
                <w:szCs w:val="22"/>
                <w:lang w:val="fr-FR"/>
              </w:rPr>
            </w:pPr>
            <w:r w:rsidRPr="006C262A">
              <w:rPr>
                <w:rFonts w:asciiTheme="minorHAnsi" w:hAnsiTheme="minorHAnsi" w:cstheme="minorHAnsi"/>
                <w:sz w:val="22"/>
                <w:szCs w:val="22"/>
                <w:lang w:val="fr-FR"/>
              </w:rPr>
              <w:t>ISO 1765</w:t>
            </w:r>
          </w:p>
        </w:tc>
        <w:tc>
          <w:tcPr>
            <w:tcW w:w="5500" w:type="dxa"/>
          </w:tcPr>
          <w:p w14:paraId="43FB83BE" w14:textId="18994F00"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5,</w:t>
            </w:r>
            <w:r w:rsidR="003F09FB">
              <w:rPr>
                <w:rFonts w:asciiTheme="minorHAnsi" w:hAnsiTheme="minorHAnsi" w:cstheme="minorHAnsi"/>
                <w:color w:val="000000"/>
                <w:sz w:val="22"/>
                <w:szCs w:val="22"/>
                <w:lang w:val="fr-FR"/>
              </w:rPr>
              <w:t>5</w:t>
            </w:r>
            <w:r w:rsidRPr="00BF2D66">
              <w:rPr>
                <w:rFonts w:asciiTheme="minorHAnsi" w:hAnsiTheme="minorHAnsi" w:cstheme="minorHAnsi"/>
                <w:color w:val="000000"/>
                <w:sz w:val="22"/>
                <w:szCs w:val="22"/>
                <w:lang w:val="fr-FR"/>
              </w:rPr>
              <w:t xml:space="preserve"> mm</w:t>
            </w:r>
          </w:p>
        </w:tc>
      </w:tr>
      <w:tr w:rsidR="001D57B1" w:rsidRPr="00BF2D66" w14:paraId="43FB83C3" w14:textId="77777777" w:rsidTr="00E93E19">
        <w:trPr>
          <w:trHeight w:val="283"/>
        </w:trPr>
        <w:tc>
          <w:tcPr>
            <w:tcW w:w="3227" w:type="dxa"/>
          </w:tcPr>
          <w:p w14:paraId="43FB83C0"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304" w:type="dxa"/>
          </w:tcPr>
          <w:p w14:paraId="43FB83C1" w14:textId="6654BA70" w:rsidR="001D57B1" w:rsidRPr="006C262A" w:rsidRDefault="006C262A" w:rsidP="00BF2D66">
            <w:pPr>
              <w:widowControl/>
              <w:autoSpaceDE/>
              <w:autoSpaceDN/>
              <w:adjustRightInd/>
              <w:spacing w:line="276" w:lineRule="auto"/>
              <w:rPr>
                <w:rFonts w:asciiTheme="minorHAnsi" w:hAnsiTheme="minorHAnsi" w:cstheme="minorHAnsi"/>
                <w:sz w:val="22"/>
                <w:szCs w:val="22"/>
                <w:lang w:val="fr-FR"/>
              </w:rPr>
            </w:pPr>
            <w:r w:rsidRPr="006C262A">
              <w:rPr>
                <w:rFonts w:asciiTheme="minorHAnsi" w:hAnsiTheme="minorHAnsi" w:cstheme="minorHAnsi"/>
                <w:sz w:val="22"/>
                <w:szCs w:val="22"/>
                <w:lang w:val="fr-FR"/>
              </w:rPr>
              <w:t>ISO1766</w:t>
            </w:r>
          </w:p>
        </w:tc>
        <w:tc>
          <w:tcPr>
            <w:tcW w:w="5500" w:type="dxa"/>
          </w:tcPr>
          <w:p w14:paraId="43FB83C2" w14:textId="41B56B5B"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2,</w:t>
            </w:r>
            <w:r w:rsidR="003F09FB">
              <w:rPr>
                <w:rFonts w:asciiTheme="minorHAnsi" w:hAnsiTheme="minorHAnsi" w:cstheme="minorHAnsi"/>
                <w:sz w:val="22"/>
                <w:szCs w:val="22"/>
                <w:lang w:val="fr-FR"/>
              </w:rPr>
              <w:t>7</w:t>
            </w:r>
            <w:r w:rsidRPr="00BF2D66">
              <w:rPr>
                <w:rFonts w:asciiTheme="minorHAnsi" w:hAnsiTheme="minorHAnsi" w:cstheme="minorHAnsi"/>
                <w:sz w:val="22"/>
                <w:szCs w:val="22"/>
                <w:lang w:val="fr-FR"/>
              </w:rPr>
              <w:t xml:space="preserve"> mm</w:t>
            </w:r>
          </w:p>
        </w:tc>
      </w:tr>
      <w:tr w:rsidR="001D57B1" w:rsidRPr="00BF2D66" w14:paraId="43FB83C7" w14:textId="77777777" w:rsidTr="00E93E19">
        <w:trPr>
          <w:trHeight w:val="283"/>
        </w:trPr>
        <w:tc>
          <w:tcPr>
            <w:tcW w:w="3227" w:type="dxa"/>
          </w:tcPr>
          <w:p w14:paraId="43FB83C4"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304" w:type="dxa"/>
          </w:tcPr>
          <w:p w14:paraId="43FB83C5"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p>
        </w:tc>
        <w:tc>
          <w:tcPr>
            <w:tcW w:w="5500" w:type="dxa"/>
          </w:tcPr>
          <w:p w14:paraId="43FB83C6" w14:textId="60725A7E" w:rsidR="001D57B1" w:rsidRPr="00BF2D66" w:rsidRDefault="003F09FB"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18</w:t>
            </w:r>
            <w:r w:rsidR="00AB6AD2" w:rsidRPr="00BF2D66">
              <w:rPr>
                <w:rFonts w:asciiTheme="minorHAnsi" w:hAnsiTheme="minorHAnsi" w:cstheme="minorHAnsi"/>
                <w:sz w:val="22"/>
                <w:szCs w:val="22"/>
                <w:lang w:val="fr-FR"/>
              </w:rPr>
              <w:t xml:space="preserve"> coloris </w:t>
            </w:r>
            <w:r w:rsidR="00BF2D66">
              <w:rPr>
                <w:rFonts w:asciiTheme="minorHAnsi" w:hAnsiTheme="minorHAnsi" w:cstheme="minorHAnsi"/>
                <w:sz w:val="22"/>
                <w:szCs w:val="22"/>
                <w:lang w:val="fr-FR"/>
              </w:rPr>
              <w:t>(</w:t>
            </w:r>
            <w:r>
              <w:rPr>
                <w:rFonts w:asciiTheme="minorHAnsi" w:hAnsiTheme="minorHAnsi" w:cstheme="minorHAnsi"/>
                <w:sz w:val="22"/>
                <w:szCs w:val="22"/>
                <w:lang w:val="fr-FR"/>
              </w:rPr>
              <w:t xml:space="preserve">20 pcs - </w:t>
            </w:r>
            <w:r w:rsidR="00AB6AD2" w:rsidRPr="00BF2D66">
              <w:rPr>
                <w:rFonts w:asciiTheme="minorHAnsi" w:hAnsiTheme="minorHAnsi" w:cstheme="minorHAnsi"/>
                <w:sz w:val="22"/>
                <w:szCs w:val="22"/>
                <w:lang w:val="fr-FR"/>
              </w:rPr>
              <w:t>5</w:t>
            </w:r>
            <w:r w:rsidR="00BF2D66">
              <w:rPr>
                <w:rFonts w:asciiTheme="minorHAnsi" w:hAnsiTheme="minorHAnsi" w:cstheme="minorHAnsi"/>
                <w:sz w:val="22"/>
                <w:szCs w:val="22"/>
                <w:lang w:val="fr-FR"/>
              </w:rPr>
              <w:t xml:space="preserve"> </w:t>
            </w:r>
            <w:r w:rsidR="00AB6AD2" w:rsidRPr="00BF2D66">
              <w:rPr>
                <w:rFonts w:asciiTheme="minorHAnsi" w:hAnsiTheme="minorHAnsi" w:cstheme="minorHAnsi"/>
                <w:sz w:val="22"/>
                <w:szCs w:val="22"/>
                <w:lang w:val="fr-FR"/>
              </w:rPr>
              <w:t xml:space="preserve">m² par </w:t>
            </w:r>
            <w:r w:rsidR="00BF2D66">
              <w:rPr>
                <w:rFonts w:asciiTheme="minorHAnsi" w:hAnsiTheme="minorHAnsi" w:cstheme="minorHAnsi"/>
                <w:sz w:val="22"/>
                <w:szCs w:val="22"/>
                <w:lang w:val="fr-FR"/>
              </w:rPr>
              <w:t>boîte)</w:t>
            </w:r>
          </w:p>
        </w:tc>
      </w:tr>
      <w:tr w:rsidR="001D57B1" w:rsidRPr="00BF2D66" w14:paraId="43FB83CB" w14:textId="77777777" w:rsidTr="00E93E19">
        <w:trPr>
          <w:trHeight w:val="283"/>
        </w:trPr>
        <w:tc>
          <w:tcPr>
            <w:tcW w:w="3227" w:type="dxa"/>
          </w:tcPr>
          <w:p w14:paraId="43FB83C8" w14:textId="32CC1F70" w:rsidR="001D57B1" w:rsidRPr="00BF2D66" w:rsidRDefault="000A59DE" w:rsidP="00BF2D66">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304" w:type="dxa"/>
          </w:tcPr>
          <w:p w14:paraId="43FB83C9" w14:textId="0D208FB3"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 xml:space="preserve">EN </w:t>
            </w:r>
            <w:r w:rsidR="00135C81">
              <w:rPr>
                <w:rFonts w:asciiTheme="minorHAnsi" w:hAnsiTheme="minorHAnsi" w:cstheme="minorHAnsi"/>
                <w:color w:val="000000"/>
                <w:sz w:val="22"/>
                <w:szCs w:val="22"/>
                <w:lang w:val="fr-FR"/>
              </w:rPr>
              <w:t>ISO 10874</w:t>
            </w:r>
          </w:p>
        </w:tc>
        <w:tc>
          <w:tcPr>
            <w:tcW w:w="5500" w:type="dxa"/>
          </w:tcPr>
          <w:p w14:paraId="43FB83CA" w14:textId="77777777" w:rsidR="001D57B1" w:rsidRPr="00BF2D66" w:rsidRDefault="001D57B1" w:rsidP="00BF2D66">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0A59DE" w:rsidRPr="00BF2D66" w14:paraId="60B517ED" w14:textId="77777777" w:rsidTr="00E93E19">
        <w:trPr>
          <w:trHeight w:val="283"/>
        </w:trPr>
        <w:tc>
          <w:tcPr>
            <w:tcW w:w="3227" w:type="dxa"/>
          </w:tcPr>
          <w:p w14:paraId="66D8E172" w14:textId="203314BB" w:rsidR="000A59DE" w:rsidRDefault="000A59DE"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Classification </w:t>
            </w:r>
            <w:r w:rsidR="0098213A">
              <w:rPr>
                <w:rFonts w:asciiTheme="minorHAnsi" w:hAnsiTheme="minorHAnsi" w:cstheme="minorHAnsi"/>
                <w:sz w:val="22"/>
                <w:szCs w:val="22"/>
                <w:lang w:val="fr-FR"/>
              </w:rPr>
              <w:t>luxe</w:t>
            </w:r>
          </w:p>
        </w:tc>
        <w:tc>
          <w:tcPr>
            <w:tcW w:w="1304" w:type="dxa"/>
          </w:tcPr>
          <w:p w14:paraId="294DCDD3" w14:textId="68F22352" w:rsidR="000A59DE" w:rsidRPr="00BF2D66" w:rsidRDefault="0098213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500" w:type="dxa"/>
          </w:tcPr>
          <w:p w14:paraId="28DDD159" w14:textId="23C8789C" w:rsidR="000A59DE" w:rsidRPr="00BF2D66" w:rsidRDefault="0098213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LC1</w:t>
            </w:r>
          </w:p>
        </w:tc>
      </w:tr>
      <w:tr w:rsidR="001D57B1" w:rsidRPr="00BF2D66" w14:paraId="43FB83CF" w14:textId="77777777" w:rsidTr="00E93E19">
        <w:trPr>
          <w:trHeight w:val="283"/>
        </w:trPr>
        <w:tc>
          <w:tcPr>
            <w:tcW w:w="3227" w:type="dxa"/>
          </w:tcPr>
          <w:p w14:paraId="43FB83CC"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304" w:type="dxa"/>
          </w:tcPr>
          <w:p w14:paraId="43FB83CD"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3CE" w14:textId="16641A6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sidR="003F09FB">
              <w:rPr>
                <w:rFonts w:asciiTheme="minorHAnsi" w:hAnsiTheme="minorHAnsi" w:cstheme="minorHAnsi"/>
                <w:color w:val="000000"/>
                <w:sz w:val="22"/>
                <w:szCs w:val="22"/>
                <w:lang w:val="fr-FR"/>
              </w:rPr>
              <w:t xml:space="preserve">Econyl </w:t>
            </w:r>
            <w:r w:rsidRPr="00BF2D66">
              <w:rPr>
                <w:rFonts w:asciiTheme="minorHAnsi" w:hAnsiTheme="minorHAnsi" w:cstheme="minorHAnsi"/>
                <w:color w:val="000000"/>
                <w:sz w:val="22"/>
                <w:szCs w:val="22"/>
                <w:lang w:val="fr-FR"/>
              </w:rPr>
              <w:t>polyamide 6</w:t>
            </w:r>
          </w:p>
        </w:tc>
      </w:tr>
      <w:tr w:rsidR="001D57B1" w:rsidRPr="00BF2D66" w14:paraId="43FB83D3" w14:textId="77777777" w:rsidTr="00E93E19">
        <w:trPr>
          <w:trHeight w:val="283"/>
        </w:trPr>
        <w:tc>
          <w:tcPr>
            <w:tcW w:w="3227" w:type="dxa"/>
          </w:tcPr>
          <w:p w14:paraId="43FB83D0"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304" w:type="dxa"/>
          </w:tcPr>
          <w:p w14:paraId="43FB83D1" w14:textId="77777777"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3D2" w14:textId="71421E53"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sidR="00BF2D66">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sidR="005F5946">
              <w:rPr>
                <w:rFonts w:asciiTheme="minorHAnsi" w:hAnsiTheme="minorHAnsi" w:cstheme="minorHAnsi"/>
                <w:color w:val="000000"/>
                <w:sz w:val="22"/>
                <w:szCs w:val="22"/>
                <w:lang w:val="fr-FR"/>
              </w:rPr>
              <w:t>Solution</w:t>
            </w:r>
            <w:r w:rsidRPr="00BF2D66">
              <w:rPr>
                <w:rFonts w:asciiTheme="minorHAnsi" w:hAnsiTheme="minorHAnsi" w:cstheme="minorHAnsi"/>
                <w:color w:val="000000"/>
                <w:sz w:val="22"/>
                <w:szCs w:val="22"/>
                <w:lang w:val="fr-FR"/>
              </w:rPr>
              <w:t xml:space="preserve"> dyed</w:t>
            </w:r>
            <w:r w:rsidR="005F5946">
              <w:rPr>
                <w:rFonts w:asciiTheme="minorHAnsi" w:hAnsiTheme="minorHAnsi" w:cstheme="minorHAnsi"/>
                <w:color w:val="000000"/>
                <w:sz w:val="22"/>
                <w:szCs w:val="22"/>
                <w:lang w:val="fr-FR"/>
              </w:rPr>
              <w:t xml:space="preserve"> (</w:t>
            </w:r>
            <w:r w:rsidR="003F09FB">
              <w:rPr>
                <w:rFonts w:asciiTheme="minorHAnsi" w:hAnsiTheme="minorHAnsi" w:cstheme="minorHAnsi"/>
                <w:color w:val="000000"/>
                <w:sz w:val="22"/>
                <w:szCs w:val="22"/>
                <w:lang w:val="fr-FR"/>
              </w:rPr>
              <w:t>teinté dans la masse)</w:t>
            </w:r>
          </w:p>
        </w:tc>
      </w:tr>
      <w:tr w:rsidR="001D57B1" w:rsidRPr="00BF2D66" w14:paraId="43FB83D7" w14:textId="77777777" w:rsidTr="00E93E19">
        <w:trPr>
          <w:trHeight w:val="283"/>
        </w:trPr>
        <w:tc>
          <w:tcPr>
            <w:tcW w:w="3227" w:type="dxa"/>
          </w:tcPr>
          <w:p w14:paraId="43FB83D4"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304" w:type="dxa"/>
          </w:tcPr>
          <w:p w14:paraId="43FB83D5" w14:textId="7F16B3E0" w:rsidR="001D57B1" w:rsidRPr="00BF2D66" w:rsidRDefault="00FE07D7"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w:t>
            </w:r>
            <w:r w:rsidR="00B11BE0">
              <w:rPr>
                <w:rFonts w:asciiTheme="minorHAnsi" w:hAnsiTheme="minorHAnsi" w:cstheme="minorHAnsi"/>
                <w:color w:val="000000"/>
                <w:sz w:val="22"/>
                <w:szCs w:val="22"/>
                <w:lang w:val="fr-FR"/>
              </w:rPr>
              <w:t>3</w:t>
            </w:r>
          </w:p>
        </w:tc>
        <w:tc>
          <w:tcPr>
            <w:tcW w:w="5500" w:type="dxa"/>
          </w:tcPr>
          <w:p w14:paraId="43FB83D6" w14:textId="0A616BAA" w:rsidR="001D57B1" w:rsidRPr="00BF2D66" w:rsidRDefault="003F09FB"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212.760</w:t>
            </w:r>
            <w:r w:rsidR="00BF2D66">
              <w:rPr>
                <w:rFonts w:asciiTheme="minorHAnsi" w:hAnsiTheme="minorHAnsi" w:cstheme="minorHAnsi"/>
                <w:color w:val="000000"/>
                <w:sz w:val="22"/>
                <w:szCs w:val="22"/>
                <w:lang w:val="fr-FR"/>
              </w:rPr>
              <w:t xml:space="preserve"> par </w:t>
            </w:r>
            <w:r w:rsidR="001D57B1" w:rsidRPr="00BF2D66">
              <w:rPr>
                <w:rFonts w:asciiTheme="minorHAnsi" w:hAnsiTheme="minorHAnsi" w:cstheme="minorHAnsi"/>
                <w:color w:val="000000"/>
                <w:sz w:val="22"/>
                <w:szCs w:val="22"/>
                <w:lang w:val="fr-FR"/>
              </w:rPr>
              <w:t>m²</w:t>
            </w:r>
          </w:p>
        </w:tc>
      </w:tr>
      <w:tr w:rsidR="001D57B1" w:rsidRPr="00BF2D66" w14:paraId="43FB83DB" w14:textId="77777777" w:rsidTr="00E93E19">
        <w:trPr>
          <w:trHeight w:val="283"/>
        </w:trPr>
        <w:tc>
          <w:tcPr>
            <w:tcW w:w="3227" w:type="dxa"/>
          </w:tcPr>
          <w:p w14:paraId="43FB83D8" w14:textId="77777777" w:rsidR="001D57B1" w:rsidRPr="00BF2D66" w:rsidRDefault="004B57C3"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304" w:type="dxa"/>
          </w:tcPr>
          <w:p w14:paraId="43FB83D9" w14:textId="7D37C358" w:rsidR="001D57B1" w:rsidRPr="00BF2D66" w:rsidRDefault="004F3534"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500" w:type="dxa"/>
          </w:tcPr>
          <w:p w14:paraId="43FB83DA" w14:textId="73FCE171" w:rsidR="001D57B1" w:rsidRPr="00BF2D66" w:rsidRDefault="001D57B1"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w:t>
            </w:r>
            <w:r w:rsidR="003F09FB">
              <w:rPr>
                <w:rFonts w:asciiTheme="minorHAnsi" w:hAnsiTheme="minorHAnsi" w:cstheme="minorHAnsi"/>
                <w:color w:val="000000"/>
                <w:sz w:val="22"/>
                <w:szCs w:val="22"/>
                <w:lang w:val="fr-FR"/>
              </w:rPr>
              <w:t>00</w:t>
            </w:r>
            <w:r w:rsidRPr="00BF2D66">
              <w:rPr>
                <w:rFonts w:asciiTheme="minorHAnsi" w:hAnsiTheme="minorHAnsi" w:cstheme="minorHAnsi"/>
                <w:color w:val="000000"/>
                <w:sz w:val="22"/>
                <w:szCs w:val="22"/>
                <w:lang w:val="fr-FR"/>
              </w:rPr>
              <w:t xml:space="preserve"> g</w:t>
            </w:r>
            <w:r w:rsidR="00611BE0">
              <w:rPr>
                <w:rFonts w:asciiTheme="minorHAnsi" w:hAnsiTheme="minorHAnsi" w:cstheme="minorHAnsi"/>
                <w:color w:val="000000"/>
                <w:sz w:val="22"/>
                <w:szCs w:val="22"/>
                <w:lang w:val="fr-FR"/>
              </w:rPr>
              <w:t>/m²</w:t>
            </w:r>
          </w:p>
        </w:tc>
      </w:tr>
      <w:tr w:rsidR="00542620" w:rsidRPr="00BF2D66" w14:paraId="56072E24" w14:textId="77777777" w:rsidTr="00E93E19">
        <w:trPr>
          <w:trHeight w:val="283"/>
        </w:trPr>
        <w:tc>
          <w:tcPr>
            <w:tcW w:w="3227" w:type="dxa"/>
          </w:tcPr>
          <w:p w14:paraId="4AD0E57D" w14:textId="03AC0CDE"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304" w:type="dxa"/>
          </w:tcPr>
          <w:p w14:paraId="4B00C6EC" w14:textId="49A7B462" w:rsidR="00542620" w:rsidRPr="00BF2D66" w:rsidRDefault="0057780A"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500" w:type="dxa"/>
          </w:tcPr>
          <w:p w14:paraId="77DC35C1" w14:textId="212D6FCE"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3</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8</w:t>
            </w:r>
            <w:r w:rsidR="003F09FB">
              <w:rPr>
                <w:rFonts w:asciiTheme="minorHAnsi" w:hAnsiTheme="minorHAnsi" w:cstheme="minorHAnsi"/>
                <w:color w:val="000000"/>
                <w:sz w:val="22"/>
                <w:szCs w:val="22"/>
                <w:lang w:val="fr-FR"/>
              </w:rPr>
              <w:t>15</w:t>
            </w:r>
            <w:r w:rsidRPr="00BF2D66">
              <w:rPr>
                <w:rFonts w:asciiTheme="minorHAnsi" w:hAnsiTheme="minorHAnsi" w:cstheme="minorHAnsi"/>
                <w:color w:val="000000"/>
                <w:sz w:val="22"/>
                <w:szCs w:val="22"/>
                <w:lang w:val="fr-FR"/>
              </w:rPr>
              <w:t xml:space="preserve"> g</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542620" w:rsidRPr="00BF2D66" w14:paraId="43FB83DF" w14:textId="77777777" w:rsidTr="00E93E19">
        <w:trPr>
          <w:trHeight w:val="283"/>
        </w:trPr>
        <w:tc>
          <w:tcPr>
            <w:tcW w:w="3227" w:type="dxa"/>
          </w:tcPr>
          <w:p w14:paraId="43FB83DC" w14:textId="0DF1DD52"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304" w:type="dxa"/>
          </w:tcPr>
          <w:p w14:paraId="43FB83DD" w14:textId="12C444D8"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500" w:type="dxa"/>
          </w:tcPr>
          <w:p w14:paraId="43FB83DE" w14:textId="0B521058"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Pr="00BF2D66">
              <w:rPr>
                <w:rFonts w:asciiTheme="minorHAnsi" w:hAnsiTheme="minorHAnsi" w:cstheme="minorHAnsi"/>
                <w:color w:val="000000"/>
                <w:sz w:val="22"/>
                <w:szCs w:val="22"/>
                <w:lang w:val="fr-FR"/>
              </w:rPr>
              <w:t>olyester</w:t>
            </w:r>
          </w:p>
        </w:tc>
      </w:tr>
      <w:tr w:rsidR="00542620" w:rsidRPr="00BF2D66" w14:paraId="43FB83E3" w14:textId="77777777" w:rsidTr="00E93E19">
        <w:trPr>
          <w:trHeight w:val="283"/>
        </w:trPr>
        <w:tc>
          <w:tcPr>
            <w:tcW w:w="3227" w:type="dxa"/>
          </w:tcPr>
          <w:p w14:paraId="43FB83E0" w14:textId="37670C34"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304" w:type="dxa"/>
          </w:tcPr>
          <w:p w14:paraId="43FB83E1" w14:textId="074BFABD"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3E2" w14:textId="7C07DBC6"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Le </w:t>
            </w:r>
            <w:r w:rsidRPr="00BF2D66">
              <w:rPr>
                <w:rFonts w:asciiTheme="minorHAnsi" w:hAnsiTheme="minorHAnsi" w:cstheme="minorHAnsi"/>
                <w:color w:val="000000"/>
                <w:sz w:val="22"/>
                <w:szCs w:val="22"/>
                <w:lang w:val="fr-FR"/>
              </w:rPr>
              <w:t>Probac</w:t>
            </w:r>
            <w:r>
              <w:rPr>
                <w:rFonts w:asciiTheme="minorHAnsi" w:hAnsiTheme="minorHAnsi" w:cstheme="minorHAnsi"/>
                <w:color w:val="000000"/>
                <w:sz w:val="22"/>
                <w:szCs w:val="22"/>
                <w:lang w:val="fr-FR"/>
              </w:rPr>
              <w:t xml:space="preserve"> contient</w:t>
            </w:r>
            <w:r w:rsidRPr="00BF2D66">
              <w:rPr>
                <w:rFonts w:asciiTheme="minorHAnsi" w:hAnsiTheme="minorHAnsi" w:cstheme="minorHAnsi"/>
                <w:color w:val="000000"/>
                <w:sz w:val="22"/>
                <w:szCs w:val="22"/>
                <w:lang w:val="fr-FR"/>
              </w:rPr>
              <w:t xml:space="preserve"> </w:t>
            </w:r>
            <w:r w:rsidR="004D5B8B">
              <w:rPr>
                <w:rFonts w:asciiTheme="minorHAnsi" w:hAnsiTheme="minorHAnsi" w:cstheme="minorHAnsi"/>
                <w:color w:val="000000"/>
                <w:sz w:val="22"/>
                <w:szCs w:val="22"/>
                <w:lang w:val="fr-FR"/>
              </w:rPr>
              <w:t>un</w:t>
            </w:r>
            <w:r w:rsidR="0077388F">
              <w:rPr>
                <w:rFonts w:asciiTheme="minorHAnsi" w:hAnsiTheme="minorHAnsi" w:cstheme="minorHAnsi"/>
                <w:color w:val="000000"/>
                <w:sz w:val="22"/>
                <w:szCs w:val="22"/>
                <w:lang w:val="fr-FR"/>
              </w:rPr>
              <w:t>e charge minérale recyclé</w:t>
            </w:r>
            <w:r w:rsidRPr="00BF2D66">
              <w:rPr>
                <w:rFonts w:asciiTheme="minorHAnsi" w:hAnsiTheme="minorHAnsi" w:cstheme="minorHAnsi"/>
                <w:color w:val="000000"/>
                <w:sz w:val="22"/>
                <w:szCs w:val="22"/>
                <w:lang w:val="fr-FR"/>
              </w:rPr>
              <w:t xml:space="preserve"> avec un faible montant de bitume modifié et </w:t>
            </w:r>
            <w:r w:rsidR="00C46E12">
              <w:rPr>
                <w:rFonts w:asciiTheme="minorHAnsi" w:hAnsiTheme="minorHAnsi" w:cstheme="minorHAnsi"/>
                <w:color w:val="000000"/>
                <w:sz w:val="22"/>
                <w:szCs w:val="22"/>
                <w:lang w:val="fr-FR"/>
              </w:rPr>
              <w:t xml:space="preserve">un voile de </w:t>
            </w:r>
            <w:r w:rsidRPr="00BF2D66">
              <w:rPr>
                <w:rFonts w:asciiTheme="minorHAnsi" w:hAnsiTheme="minorHAnsi" w:cstheme="minorHAnsi"/>
                <w:color w:val="000000"/>
                <w:sz w:val="22"/>
                <w:szCs w:val="22"/>
                <w:lang w:val="fr-FR"/>
              </w:rPr>
              <w:t>polyester</w:t>
            </w:r>
            <w:r w:rsidR="00C46E12">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00C46E12">
              <w:rPr>
                <w:rFonts w:asciiTheme="minorHAnsi" w:hAnsiTheme="minorHAnsi" w:cstheme="minorHAnsi"/>
                <w:color w:val="000000"/>
                <w:sz w:val="22"/>
                <w:szCs w:val="22"/>
                <w:lang w:val="fr-FR"/>
              </w:rPr>
              <w:t xml:space="preserve">Il </w:t>
            </w:r>
            <w:r w:rsidRPr="00BF2D66">
              <w:rPr>
                <w:rFonts w:asciiTheme="minorHAnsi" w:hAnsiTheme="minorHAnsi" w:cstheme="minorHAnsi"/>
                <w:color w:val="000000"/>
                <w:sz w:val="22"/>
                <w:szCs w:val="22"/>
                <w:lang w:val="fr-FR"/>
              </w:rPr>
              <w:t>contient plus que 76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542620" w:rsidRPr="00BF2D66" w14:paraId="43FB83E7" w14:textId="77777777" w:rsidTr="00E93E19">
        <w:trPr>
          <w:trHeight w:val="283"/>
        </w:trPr>
        <w:tc>
          <w:tcPr>
            <w:tcW w:w="3227" w:type="dxa"/>
          </w:tcPr>
          <w:p w14:paraId="43FB83E4" w14:textId="1448D6D9"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304" w:type="dxa"/>
          </w:tcPr>
          <w:p w14:paraId="43FB83E5" w14:textId="6155AC7C" w:rsidR="00542620" w:rsidRPr="00BF2D66" w:rsidRDefault="00DC3F66"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4918</w:t>
            </w:r>
          </w:p>
        </w:tc>
        <w:tc>
          <w:tcPr>
            <w:tcW w:w="5500" w:type="dxa"/>
          </w:tcPr>
          <w:p w14:paraId="43FB83E6" w14:textId="42FFE7E6" w:rsidR="00542620" w:rsidRPr="00BF2D66" w:rsidRDefault="00542620" w:rsidP="00E8048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Minimum valeur </w:t>
            </w:r>
            <w:r w:rsidRPr="00BF2D66">
              <w:rPr>
                <w:rFonts w:asciiTheme="minorHAnsi" w:hAnsiTheme="minorHAnsi" w:cstheme="minorHAnsi"/>
                <w:color w:val="000000"/>
                <w:sz w:val="22"/>
                <w:szCs w:val="22"/>
                <w:lang w:val="fr-FR"/>
              </w:rPr>
              <w:t>R :</w:t>
            </w:r>
            <w:r w:rsidRPr="00BF2D66">
              <w:rPr>
                <w:rFonts w:asciiTheme="minorHAnsi" w:hAnsiTheme="minorHAnsi" w:cstheme="minorHAnsi"/>
                <w:sz w:val="22"/>
                <w:szCs w:val="22"/>
                <w:lang w:val="fr-FR"/>
              </w:rPr>
              <w:t xml:space="preserve"> ≥ 2,4</w:t>
            </w:r>
          </w:p>
        </w:tc>
      </w:tr>
      <w:tr w:rsidR="004E5EAF" w:rsidRPr="00BF2D66" w14:paraId="78F7CFF1" w14:textId="77777777" w:rsidTr="00E93E19">
        <w:trPr>
          <w:trHeight w:val="283"/>
        </w:trPr>
        <w:tc>
          <w:tcPr>
            <w:tcW w:w="3227" w:type="dxa"/>
          </w:tcPr>
          <w:p w14:paraId="73ADC9F2" w14:textId="0E8E0B67" w:rsidR="004E5EAF" w:rsidRPr="00BF2D66" w:rsidRDefault="004E5EAF"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Stabilité </w:t>
            </w:r>
            <w:r w:rsidR="008971FD">
              <w:rPr>
                <w:rFonts w:asciiTheme="minorHAnsi" w:hAnsiTheme="minorHAnsi" w:cstheme="minorHAnsi"/>
                <w:sz w:val="22"/>
                <w:szCs w:val="22"/>
                <w:lang w:val="fr-FR"/>
              </w:rPr>
              <w:t>dimensionnelle</w:t>
            </w:r>
          </w:p>
        </w:tc>
        <w:tc>
          <w:tcPr>
            <w:tcW w:w="1304" w:type="dxa"/>
          </w:tcPr>
          <w:p w14:paraId="6D293183" w14:textId="05D9C3F9" w:rsidR="004E5EAF" w:rsidRDefault="008971FD"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986</w:t>
            </w:r>
          </w:p>
        </w:tc>
        <w:tc>
          <w:tcPr>
            <w:tcW w:w="5500" w:type="dxa"/>
          </w:tcPr>
          <w:p w14:paraId="605D5E4E" w14:textId="59C695EB" w:rsidR="004E5EAF" w:rsidRDefault="00D93554" w:rsidP="00E8048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0,2%</w:t>
            </w:r>
          </w:p>
        </w:tc>
      </w:tr>
      <w:tr w:rsidR="00542620" w:rsidRPr="00BF2D66" w14:paraId="43FB83EB" w14:textId="77777777" w:rsidTr="00E93E19">
        <w:trPr>
          <w:trHeight w:val="283"/>
        </w:trPr>
        <w:tc>
          <w:tcPr>
            <w:tcW w:w="3227" w:type="dxa"/>
          </w:tcPr>
          <w:p w14:paraId="43FB83E8" w14:textId="6142D1F3"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Solidité des couleurs à la lumière</w:t>
            </w:r>
          </w:p>
        </w:tc>
        <w:tc>
          <w:tcPr>
            <w:tcW w:w="1304" w:type="dxa"/>
          </w:tcPr>
          <w:p w14:paraId="43FB83E9" w14:textId="704775BC"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500" w:type="dxa"/>
          </w:tcPr>
          <w:p w14:paraId="43FB83EA" w14:textId="49891FB6" w:rsidR="00542620" w:rsidRPr="00BF2D66" w:rsidRDefault="00542620" w:rsidP="00E8048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5</w:t>
            </w:r>
          </w:p>
        </w:tc>
      </w:tr>
      <w:tr w:rsidR="00542620" w:rsidRPr="00BF2D66" w14:paraId="43FB83EF" w14:textId="77777777" w:rsidTr="00E93E19">
        <w:trPr>
          <w:trHeight w:val="283"/>
        </w:trPr>
        <w:tc>
          <w:tcPr>
            <w:tcW w:w="3227" w:type="dxa"/>
          </w:tcPr>
          <w:p w14:paraId="43FB83EC" w14:textId="0A076A52"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304" w:type="dxa"/>
          </w:tcPr>
          <w:p w14:paraId="43FB83ED" w14:textId="17EFA3D3"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500" w:type="dxa"/>
          </w:tcPr>
          <w:p w14:paraId="43FB83EE" w14:textId="65DA9A5C"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542620" w:rsidRPr="00BF2D66" w14:paraId="43FB83F3" w14:textId="77777777" w:rsidTr="00E93E19">
        <w:trPr>
          <w:trHeight w:val="283"/>
        </w:trPr>
        <w:tc>
          <w:tcPr>
            <w:tcW w:w="3227" w:type="dxa"/>
          </w:tcPr>
          <w:p w14:paraId="43FB83F0" w14:textId="2D58D9D6"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 bruits d’impact</w:t>
            </w:r>
          </w:p>
        </w:tc>
        <w:tc>
          <w:tcPr>
            <w:tcW w:w="1304" w:type="dxa"/>
          </w:tcPr>
          <w:p w14:paraId="43FB83F1" w14:textId="05493F31"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Pr>
                <w:rFonts w:asciiTheme="minorHAnsi" w:hAnsiTheme="minorHAnsi" w:cstheme="minorHAnsi"/>
                <w:sz w:val="22"/>
                <w:szCs w:val="22"/>
                <w:lang w:val="fr-FR"/>
              </w:rPr>
              <w:t xml:space="preserve"> </w:t>
            </w:r>
            <w:r w:rsidR="00DD01FA">
              <w:rPr>
                <w:rFonts w:asciiTheme="minorHAnsi" w:hAnsiTheme="minorHAnsi" w:cstheme="minorHAnsi"/>
                <w:sz w:val="22"/>
                <w:szCs w:val="22"/>
                <w:lang w:val="fr-FR"/>
              </w:rPr>
              <w:t>717-2</w:t>
            </w:r>
          </w:p>
        </w:tc>
        <w:tc>
          <w:tcPr>
            <w:tcW w:w="5500" w:type="dxa"/>
          </w:tcPr>
          <w:p w14:paraId="43FB83F2" w14:textId="6A45858A"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2</w:t>
            </w:r>
            <w:r w:rsidR="00A35347">
              <w:rPr>
                <w:rFonts w:asciiTheme="minorHAnsi" w:hAnsiTheme="minorHAnsi" w:cstheme="minorHAnsi"/>
                <w:color w:val="000000"/>
                <w:sz w:val="22"/>
                <w:szCs w:val="22"/>
                <w:lang w:val="fr-FR"/>
              </w:rPr>
              <w:t>5</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dB</w:t>
            </w:r>
          </w:p>
        </w:tc>
      </w:tr>
      <w:tr w:rsidR="00542620" w:rsidRPr="00BF2D66" w14:paraId="43FB83F7" w14:textId="77777777" w:rsidTr="00E93E19">
        <w:trPr>
          <w:trHeight w:val="283"/>
        </w:trPr>
        <w:tc>
          <w:tcPr>
            <w:tcW w:w="3227" w:type="dxa"/>
          </w:tcPr>
          <w:p w14:paraId="43FB83F4" w14:textId="7313D40F"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304" w:type="dxa"/>
          </w:tcPr>
          <w:p w14:paraId="43FB83F5" w14:textId="51597D6E"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w:t>
            </w:r>
            <w:r w:rsidR="00801BA3">
              <w:rPr>
                <w:rFonts w:asciiTheme="minorHAnsi" w:hAnsiTheme="minorHAnsi" w:cstheme="minorHAnsi"/>
                <w:sz w:val="22"/>
                <w:szCs w:val="22"/>
                <w:lang w:val="fr-FR"/>
              </w:rPr>
              <w:t>N</w:t>
            </w:r>
            <w:r>
              <w:rPr>
                <w:rFonts w:asciiTheme="minorHAnsi" w:hAnsiTheme="minorHAnsi" w:cstheme="minorHAnsi"/>
                <w:sz w:val="22"/>
                <w:szCs w:val="22"/>
                <w:lang w:val="fr-FR"/>
              </w:rPr>
              <w:t xml:space="preserve"> ISO 354</w:t>
            </w:r>
          </w:p>
        </w:tc>
        <w:tc>
          <w:tcPr>
            <w:tcW w:w="5500" w:type="dxa"/>
          </w:tcPr>
          <w:p w14:paraId="43FB83F6" w14:textId="4D3410B5" w:rsidR="00542620" w:rsidRPr="004572B2"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4572B2">
              <w:rPr>
                <w:sz w:val="22"/>
                <w:szCs w:val="22"/>
              </w:rPr>
              <w:t>αw</w:t>
            </w:r>
            <w:r w:rsidRPr="004572B2">
              <w:rPr>
                <w:rFonts w:ascii="Calibri" w:hAnsi="Calibri" w:cs="Arial"/>
                <w:sz w:val="22"/>
                <w:szCs w:val="22"/>
                <w:lang w:val="nl-BE"/>
              </w:rPr>
              <w:t xml:space="preserve"> = 0,15</w:t>
            </w:r>
            <w:r w:rsidR="00A35347" w:rsidRPr="004572B2">
              <w:rPr>
                <w:rFonts w:ascii="Calibri" w:hAnsi="Calibri" w:cs="Arial"/>
                <w:sz w:val="22"/>
                <w:szCs w:val="22"/>
                <w:lang w:val="nl-BE"/>
              </w:rPr>
              <w:t xml:space="preserve"> (H)</w:t>
            </w:r>
          </w:p>
        </w:tc>
      </w:tr>
      <w:tr w:rsidR="00BE304C" w:rsidRPr="00BF2D66" w14:paraId="1A860086" w14:textId="77777777" w:rsidTr="00E93E19">
        <w:trPr>
          <w:trHeight w:val="283"/>
        </w:trPr>
        <w:tc>
          <w:tcPr>
            <w:tcW w:w="3227" w:type="dxa"/>
          </w:tcPr>
          <w:p w14:paraId="77C6EE9A" w14:textId="2621ABCE" w:rsidR="00BE304C" w:rsidRDefault="003F09FB"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Emission</w:t>
            </w:r>
            <w:r w:rsidR="00E93E19">
              <w:rPr>
                <w:rFonts w:asciiTheme="minorHAnsi" w:hAnsiTheme="minorHAnsi" w:cstheme="minorHAnsi"/>
                <w:sz w:val="22"/>
                <w:szCs w:val="22"/>
                <w:lang w:val="fr-FR"/>
              </w:rPr>
              <w:t>s</w:t>
            </w:r>
          </w:p>
        </w:tc>
        <w:tc>
          <w:tcPr>
            <w:tcW w:w="1304" w:type="dxa"/>
          </w:tcPr>
          <w:p w14:paraId="25BC910B" w14:textId="2F6BFC01" w:rsidR="00BE304C" w:rsidRPr="00BF2D66" w:rsidRDefault="00BE304C" w:rsidP="00BF2D66">
            <w:pPr>
              <w:widowControl/>
              <w:autoSpaceDE/>
              <w:autoSpaceDN/>
              <w:adjustRightInd/>
              <w:spacing w:line="276" w:lineRule="auto"/>
              <w:rPr>
                <w:rFonts w:asciiTheme="minorHAnsi" w:hAnsiTheme="minorHAnsi" w:cstheme="minorHAnsi"/>
                <w:sz w:val="22"/>
                <w:szCs w:val="22"/>
                <w:lang w:val="fr-FR"/>
              </w:rPr>
            </w:pPr>
          </w:p>
        </w:tc>
        <w:tc>
          <w:tcPr>
            <w:tcW w:w="5500" w:type="dxa"/>
          </w:tcPr>
          <w:p w14:paraId="4E1519A7" w14:textId="0DDB417C" w:rsidR="00BE304C" w:rsidRPr="0027663C" w:rsidRDefault="003F09FB" w:rsidP="00BF2D66">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Conforme au norme 01350 qualité de l’air intérieur</w:t>
            </w:r>
          </w:p>
        </w:tc>
      </w:tr>
      <w:tr w:rsidR="00542620" w:rsidRPr="00BF2D66" w14:paraId="726F7855" w14:textId="77777777" w:rsidTr="00E93E19">
        <w:trPr>
          <w:trHeight w:val="283"/>
        </w:trPr>
        <w:tc>
          <w:tcPr>
            <w:tcW w:w="3227" w:type="dxa"/>
          </w:tcPr>
          <w:p w14:paraId="6F30E296" w14:textId="699AB029" w:rsidR="00542620" w:rsidRPr="00BF2D66" w:rsidRDefault="0021535B"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 xml:space="preserve">Creating Better Environments : </w:t>
            </w:r>
            <w:r w:rsidR="00542620">
              <w:rPr>
                <w:rFonts w:asciiTheme="minorHAnsi" w:hAnsiTheme="minorHAnsi" w:cstheme="minorHAnsi"/>
                <w:sz w:val="22"/>
                <w:szCs w:val="22"/>
                <w:lang w:val="fr-FR"/>
              </w:rPr>
              <w:t>Electricité renou</w:t>
            </w:r>
            <w:r w:rsidR="00542620" w:rsidRPr="00BF2D66">
              <w:rPr>
                <w:rFonts w:asciiTheme="minorHAnsi" w:hAnsiTheme="minorHAnsi" w:cstheme="minorHAnsi"/>
                <w:sz w:val="22"/>
                <w:szCs w:val="22"/>
                <w:lang w:val="fr-FR"/>
              </w:rPr>
              <w:t>velable</w:t>
            </w:r>
          </w:p>
        </w:tc>
        <w:tc>
          <w:tcPr>
            <w:tcW w:w="1304" w:type="dxa"/>
          </w:tcPr>
          <w:p w14:paraId="41717AC5" w14:textId="4F62F433"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p>
        </w:tc>
        <w:tc>
          <w:tcPr>
            <w:tcW w:w="5500" w:type="dxa"/>
          </w:tcPr>
          <w:p w14:paraId="397FAF29" w14:textId="6B49FF7D" w:rsidR="00542620" w:rsidRPr="00BF2D66" w:rsidRDefault="00542620" w:rsidP="00BF2D66">
            <w:pPr>
              <w:widowControl/>
              <w:autoSpaceDE/>
              <w:autoSpaceDN/>
              <w:adjustRightInd/>
              <w:spacing w:line="276" w:lineRule="auto"/>
              <w:rPr>
                <w:rFonts w:asciiTheme="minorHAnsi" w:hAnsiTheme="minorHAnsi" w:cstheme="minorHAnsi"/>
                <w:sz w:val="22"/>
                <w:szCs w:val="22"/>
                <w:lang w:val="fr-FR"/>
              </w:rPr>
            </w:pPr>
            <w:r w:rsidRPr="0027663C">
              <w:rPr>
                <w:rFonts w:asciiTheme="minorHAnsi" w:hAnsiTheme="minorHAnsi" w:cstheme="minorHAnsi"/>
                <w:sz w:val="22"/>
                <w:szCs w:val="22"/>
                <w:lang w:val="fr-FR"/>
              </w:rPr>
              <w:t xml:space="preserve">Les dalles de tapis </w:t>
            </w:r>
            <w:r>
              <w:rPr>
                <w:rFonts w:asciiTheme="minorHAnsi" w:hAnsiTheme="minorHAnsi" w:cstheme="minorHAnsi"/>
                <w:sz w:val="22"/>
                <w:szCs w:val="22"/>
                <w:lang w:val="fr-FR"/>
              </w:rPr>
              <w:t xml:space="preserve">sont </w:t>
            </w:r>
            <w:r w:rsidRPr="0027663C">
              <w:rPr>
                <w:rFonts w:asciiTheme="minorHAnsi" w:eastAsia="MyriadPro-Regular" w:hAnsiTheme="minorHAnsi" w:cstheme="minorHAnsi"/>
                <w:sz w:val="22"/>
                <w:szCs w:val="22"/>
                <w:lang w:val="fr-FR" w:bidi="ar-SA"/>
              </w:rPr>
              <w:t>fabriqu</w:t>
            </w:r>
            <w:r>
              <w:rPr>
                <w:rFonts w:asciiTheme="minorHAnsi" w:eastAsia="MyriadPro-Regular" w:hAnsiTheme="minorHAnsi" w:cstheme="minorHAnsi"/>
                <w:sz w:val="22"/>
                <w:szCs w:val="22"/>
                <w:lang w:val="fr-FR" w:bidi="ar-SA"/>
              </w:rPr>
              <w:t>ées</w:t>
            </w:r>
            <w:r w:rsidRPr="0027663C">
              <w:rPr>
                <w:rFonts w:asciiTheme="minorHAnsi" w:eastAsia="MyriadPro-Regular" w:hAnsiTheme="minorHAnsi" w:cstheme="minorHAnsi"/>
                <w:sz w:val="22"/>
                <w:szCs w:val="22"/>
                <w:lang w:val="fr-FR" w:bidi="ar-SA"/>
              </w:rPr>
              <w:t xml:space="preserve"> avec de l’électricité générée a 100 % à partir de sources 100 % renouvelables.</w:t>
            </w:r>
          </w:p>
        </w:tc>
      </w:tr>
      <w:tr w:rsidR="00542620" w:rsidRPr="00BF2D66" w14:paraId="43FB83FB" w14:textId="77777777" w:rsidTr="00E93E19">
        <w:trPr>
          <w:trHeight w:val="283"/>
        </w:trPr>
        <w:tc>
          <w:tcPr>
            <w:tcW w:w="3227" w:type="dxa"/>
          </w:tcPr>
          <w:p w14:paraId="43FB83F8" w14:textId="4B19FB29" w:rsidR="00542620" w:rsidRPr="00BF2D66" w:rsidRDefault="00542620" w:rsidP="00BF2D66">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304" w:type="dxa"/>
          </w:tcPr>
          <w:p w14:paraId="43FB83F9" w14:textId="77777777"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3FA" w14:textId="49A5671F" w:rsidR="00542620" w:rsidRPr="0027663C"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plus de </w:t>
            </w:r>
            <w:r w:rsidR="002E66CC">
              <w:rPr>
                <w:rFonts w:asciiTheme="minorHAnsi" w:eastAsia="MyriadPro-Regular" w:hAnsiTheme="minorHAnsi" w:cstheme="minorHAnsi"/>
                <w:sz w:val="22"/>
                <w:szCs w:val="22"/>
                <w:lang w:val="fr-FR" w:bidi="ar-SA"/>
              </w:rPr>
              <w:t>62</w:t>
            </w:r>
            <w:r w:rsidRPr="0027663C">
              <w:rPr>
                <w:rFonts w:asciiTheme="minorHAnsi" w:eastAsia="MyriadPro-Regular" w:hAnsiTheme="minorHAnsi" w:cstheme="minorHAnsi"/>
                <w:sz w:val="22"/>
                <w:szCs w:val="22"/>
                <w:lang w:val="fr-FR" w:bidi="ar-SA"/>
              </w:rPr>
              <w:t xml:space="preserve"> % de contenu recycle par poids.</w:t>
            </w:r>
          </w:p>
        </w:tc>
      </w:tr>
      <w:tr w:rsidR="00542620" w:rsidRPr="00C45976" w14:paraId="43FB8403" w14:textId="77777777" w:rsidTr="00E93E19">
        <w:trPr>
          <w:trHeight w:val="283"/>
        </w:trPr>
        <w:tc>
          <w:tcPr>
            <w:tcW w:w="3227" w:type="dxa"/>
          </w:tcPr>
          <w:p w14:paraId="43FB8400" w14:textId="7EFA8C25" w:rsidR="00542620" w:rsidRPr="00BF2D66" w:rsidRDefault="00887058"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Reprise des chutes de pose</w:t>
            </w:r>
          </w:p>
        </w:tc>
        <w:tc>
          <w:tcPr>
            <w:tcW w:w="1304" w:type="dxa"/>
          </w:tcPr>
          <w:p w14:paraId="43FB8401" w14:textId="77777777"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43FB8402" w14:textId="27C10E72" w:rsidR="00542620" w:rsidRPr="00887058" w:rsidRDefault="00887058" w:rsidP="00BF2D66">
            <w:pPr>
              <w:pStyle w:val="TxBrp4"/>
              <w:spacing w:line="276" w:lineRule="auto"/>
              <w:rPr>
                <w:rFonts w:asciiTheme="minorHAnsi" w:hAnsiTheme="minorHAnsi" w:cstheme="minorHAnsi"/>
                <w:color w:val="000000"/>
                <w:sz w:val="22"/>
                <w:szCs w:val="22"/>
                <w:lang w:val="en-US"/>
              </w:rPr>
            </w:pPr>
            <w:r w:rsidRPr="00887058">
              <w:rPr>
                <w:rFonts w:asciiTheme="minorHAnsi" w:hAnsiTheme="minorHAnsi" w:cstheme="minorHAnsi"/>
                <w:color w:val="000000"/>
                <w:sz w:val="22"/>
                <w:szCs w:val="22"/>
                <w:lang w:val="en-US"/>
              </w:rPr>
              <w:t>Via le programme Back to</w:t>
            </w:r>
            <w:r>
              <w:rPr>
                <w:rFonts w:asciiTheme="minorHAnsi" w:hAnsiTheme="minorHAnsi" w:cstheme="minorHAnsi"/>
                <w:color w:val="000000"/>
                <w:sz w:val="22"/>
                <w:szCs w:val="22"/>
                <w:lang w:val="en-US"/>
              </w:rPr>
              <w:t xml:space="preserve"> the Floor</w:t>
            </w:r>
          </w:p>
        </w:tc>
      </w:tr>
      <w:tr w:rsidR="00542620" w:rsidRPr="00BF2D66" w14:paraId="03A70E94" w14:textId="77777777" w:rsidTr="00E93E19">
        <w:trPr>
          <w:trHeight w:val="283"/>
        </w:trPr>
        <w:tc>
          <w:tcPr>
            <w:tcW w:w="3227" w:type="dxa"/>
          </w:tcPr>
          <w:p w14:paraId="2326FB55" w14:textId="355E110F"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304" w:type="dxa"/>
          </w:tcPr>
          <w:p w14:paraId="2984C173" w14:textId="77777777"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64FE1CE3" w14:textId="35B2568E" w:rsidR="00542620" w:rsidRPr="0027663C" w:rsidRDefault="00542620" w:rsidP="00BF2D66">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542620" w:rsidRPr="00BF2D66" w14:paraId="3B09D473" w14:textId="77777777" w:rsidTr="00E93E19">
        <w:trPr>
          <w:trHeight w:val="283"/>
        </w:trPr>
        <w:tc>
          <w:tcPr>
            <w:tcW w:w="3227" w:type="dxa"/>
          </w:tcPr>
          <w:p w14:paraId="6A6C2E30" w14:textId="03E12ACA" w:rsidR="00542620" w:rsidRDefault="00542620" w:rsidP="00BF2D66">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304" w:type="dxa"/>
          </w:tcPr>
          <w:p w14:paraId="5334DF8C" w14:textId="77777777" w:rsidR="00542620" w:rsidRPr="00BF2D66" w:rsidRDefault="00542620" w:rsidP="00BF2D66">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2E70DE38" w14:textId="14387525" w:rsidR="00542620" w:rsidRPr="00530EEE" w:rsidRDefault="00B63EE1" w:rsidP="00BF2D66">
            <w:pPr>
              <w:pStyle w:val="TxBrp4"/>
              <w:spacing w:line="276" w:lineRule="auto"/>
              <w:rPr>
                <w:rFonts w:asciiTheme="minorHAnsi" w:hAnsiTheme="minorHAnsi" w:cstheme="minorHAnsi"/>
                <w:color w:val="000000"/>
                <w:sz w:val="22"/>
                <w:szCs w:val="22"/>
              </w:rPr>
            </w:pPr>
            <w:r w:rsidRPr="00530EEE">
              <w:rPr>
                <w:rFonts w:asciiTheme="minorHAnsi" w:hAnsiTheme="minorHAnsi" w:cs="Arial"/>
                <w:sz w:val="22"/>
                <w:szCs w:val="22"/>
              </w:rPr>
              <w:t xml:space="preserve">Monolithique, tourné d’un quart, ou </w:t>
            </w:r>
            <w:r w:rsidR="007F6104" w:rsidRPr="00530EEE">
              <w:rPr>
                <w:rFonts w:asciiTheme="minorHAnsi" w:hAnsiTheme="minorHAnsi" w:cs="Arial"/>
                <w:sz w:val="22"/>
                <w:szCs w:val="22"/>
              </w:rPr>
              <w:t>inversé</w:t>
            </w:r>
          </w:p>
        </w:tc>
      </w:tr>
      <w:tr w:rsidR="00CA3748" w:rsidRPr="00BF2D66" w14:paraId="4018AB90" w14:textId="77777777" w:rsidTr="00E93E19">
        <w:trPr>
          <w:trHeight w:val="283"/>
        </w:trPr>
        <w:tc>
          <w:tcPr>
            <w:tcW w:w="3227" w:type="dxa"/>
          </w:tcPr>
          <w:p w14:paraId="5A39E62E"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304" w:type="dxa"/>
          </w:tcPr>
          <w:p w14:paraId="7A40632D"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500" w:type="dxa"/>
          </w:tcPr>
          <w:p w14:paraId="1329A7D7" w14:textId="383AEB60" w:rsidR="00CA3748" w:rsidRPr="00BF2D66" w:rsidRDefault="00CA3748" w:rsidP="003D39B7">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r w:rsidR="008B2C23">
              <w:rPr>
                <w:rFonts w:asciiTheme="minorHAnsi" w:hAnsiTheme="minorHAnsi" w:cstheme="minorHAnsi"/>
                <w:sz w:val="22"/>
                <w:szCs w:val="22"/>
                <w:lang w:val="fr-FR"/>
              </w:rPr>
              <w:t>, G, NCS</w:t>
            </w:r>
          </w:p>
        </w:tc>
      </w:tr>
      <w:tr w:rsidR="00CA3748" w:rsidRPr="00BF2D66" w14:paraId="2E08C0AA" w14:textId="77777777" w:rsidTr="00E93E19">
        <w:trPr>
          <w:trHeight w:val="283"/>
        </w:trPr>
        <w:tc>
          <w:tcPr>
            <w:tcW w:w="3227" w:type="dxa"/>
          </w:tcPr>
          <w:p w14:paraId="0D7A7F98"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304" w:type="dxa"/>
          </w:tcPr>
          <w:p w14:paraId="2F7D9A40" w14:textId="77777777"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500" w:type="dxa"/>
          </w:tcPr>
          <w:p w14:paraId="00934D4A" w14:textId="786BFC06" w:rsidR="00CA3748" w:rsidRPr="00BF2D66" w:rsidRDefault="00CA3748" w:rsidP="003D39B7">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sidR="008B2C23">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w:t>
            </w:r>
            <w:r w:rsidR="008B2C23">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0,30</w:t>
            </w:r>
          </w:p>
        </w:tc>
      </w:tr>
      <w:tr w:rsidR="00CA3748" w:rsidRPr="00BF2D66" w14:paraId="263005C8" w14:textId="77777777" w:rsidTr="00E93E19">
        <w:trPr>
          <w:trHeight w:val="283"/>
        </w:trPr>
        <w:tc>
          <w:tcPr>
            <w:tcW w:w="3227" w:type="dxa"/>
          </w:tcPr>
          <w:p w14:paraId="20D3F6C1" w14:textId="77777777" w:rsidR="00CA3748" w:rsidRPr="00BF2D66" w:rsidRDefault="00CA3748" w:rsidP="003D39B7">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304" w:type="dxa"/>
          </w:tcPr>
          <w:p w14:paraId="7EAE038B" w14:textId="713C6FF9" w:rsidR="00CA3748" w:rsidRPr="00BF2D66" w:rsidRDefault="003114FF"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63</w:t>
            </w:r>
            <w:r w:rsidR="007D1DE1">
              <w:rPr>
                <w:rFonts w:asciiTheme="minorHAnsi" w:hAnsiTheme="minorHAnsi" w:cstheme="minorHAnsi"/>
                <w:color w:val="000000"/>
                <w:sz w:val="22"/>
                <w:szCs w:val="22"/>
                <w:lang w:val="fr-FR"/>
              </w:rPr>
              <w:t>56</w:t>
            </w:r>
          </w:p>
        </w:tc>
        <w:tc>
          <w:tcPr>
            <w:tcW w:w="5500" w:type="dxa"/>
          </w:tcPr>
          <w:p w14:paraId="74CAE13E" w14:textId="2A39A75B" w:rsidR="00CA3748" w:rsidRPr="00BF2D66" w:rsidRDefault="007D1DE1"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2kV (Antistatique)</w:t>
            </w:r>
          </w:p>
        </w:tc>
      </w:tr>
      <w:tr w:rsidR="00083B61" w:rsidRPr="00BF2D66" w14:paraId="4533693B" w14:textId="77777777" w:rsidTr="007B3909">
        <w:trPr>
          <w:trHeight w:val="371"/>
        </w:trPr>
        <w:tc>
          <w:tcPr>
            <w:tcW w:w="3227" w:type="dxa"/>
          </w:tcPr>
          <w:p w14:paraId="4BFD43B6" w14:textId="37F3313F" w:rsidR="00083B61" w:rsidRPr="00BF2D66" w:rsidRDefault="00083B61" w:rsidP="003D39B7">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Résistance thermique</w:t>
            </w:r>
          </w:p>
        </w:tc>
        <w:tc>
          <w:tcPr>
            <w:tcW w:w="1304" w:type="dxa"/>
          </w:tcPr>
          <w:p w14:paraId="4E1B6892" w14:textId="7929ADFA" w:rsidR="00083B61" w:rsidRPr="00BF2D66" w:rsidRDefault="006157BD"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12524</w:t>
            </w:r>
          </w:p>
        </w:tc>
        <w:tc>
          <w:tcPr>
            <w:tcW w:w="5500" w:type="dxa"/>
          </w:tcPr>
          <w:p w14:paraId="0C877F83" w14:textId="47500EE1" w:rsidR="00083B61" w:rsidRPr="00BF2D66" w:rsidRDefault="00B123C6"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0,06 W/m-K</w:t>
            </w:r>
          </w:p>
        </w:tc>
      </w:tr>
      <w:tr w:rsidR="00083B61" w:rsidRPr="00BF2D66" w14:paraId="1C968707" w14:textId="77777777" w:rsidTr="00E93E19">
        <w:trPr>
          <w:trHeight w:val="283"/>
        </w:trPr>
        <w:tc>
          <w:tcPr>
            <w:tcW w:w="3227" w:type="dxa"/>
          </w:tcPr>
          <w:p w14:paraId="56E19884" w14:textId="63772F0A" w:rsidR="00083B61" w:rsidRPr="00BF2D66" w:rsidRDefault="00B123C6" w:rsidP="003D39B7">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Label Gut</w:t>
            </w:r>
          </w:p>
        </w:tc>
        <w:tc>
          <w:tcPr>
            <w:tcW w:w="1304" w:type="dxa"/>
          </w:tcPr>
          <w:p w14:paraId="27A4D945" w14:textId="4E29E4F8" w:rsidR="00083B61" w:rsidRPr="00BF2D66" w:rsidRDefault="00083B61" w:rsidP="003D39B7">
            <w:pPr>
              <w:widowControl/>
              <w:autoSpaceDE/>
              <w:autoSpaceDN/>
              <w:adjustRightInd/>
              <w:spacing w:line="276" w:lineRule="auto"/>
              <w:rPr>
                <w:rFonts w:asciiTheme="minorHAnsi" w:hAnsiTheme="minorHAnsi" w:cstheme="minorHAnsi"/>
                <w:color w:val="000000"/>
                <w:sz w:val="22"/>
                <w:szCs w:val="22"/>
                <w:lang w:val="fr-FR"/>
              </w:rPr>
            </w:pPr>
          </w:p>
        </w:tc>
        <w:tc>
          <w:tcPr>
            <w:tcW w:w="5500" w:type="dxa"/>
          </w:tcPr>
          <w:p w14:paraId="7A2FF352" w14:textId="1FEEEB4C" w:rsidR="00083B61" w:rsidRPr="00BF2D66" w:rsidRDefault="00952CF3" w:rsidP="003D39B7">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Oui</w:t>
            </w:r>
          </w:p>
        </w:tc>
      </w:tr>
    </w:tbl>
    <w:p w14:paraId="4FF0E32B" w14:textId="77777777" w:rsidR="0085253A" w:rsidRDefault="0085253A" w:rsidP="0085253A">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Exécution et pose</w:t>
      </w:r>
    </w:p>
    <w:p w14:paraId="6747DAA9" w14:textId="77777777" w:rsidR="0085253A" w:rsidRPr="00BF2D66" w:rsidRDefault="0085253A" w:rsidP="0085253A">
      <w:pPr>
        <w:widowControl/>
        <w:autoSpaceDE/>
        <w:autoSpaceDN/>
        <w:adjustRightInd/>
        <w:spacing w:line="276" w:lineRule="auto"/>
        <w:rPr>
          <w:rFonts w:asciiTheme="minorHAnsi" w:hAnsiTheme="minorHAnsi" w:cstheme="minorHAnsi"/>
          <w:sz w:val="22"/>
          <w:szCs w:val="22"/>
          <w:u w:val="single"/>
          <w:lang w:val="fr-FR"/>
        </w:rPr>
      </w:pPr>
    </w:p>
    <w:p w14:paraId="4A9C70C4"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6E9EF434" w14:textId="77777777" w:rsidR="0085253A" w:rsidRPr="00266D8B" w:rsidRDefault="0085253A" w:rsidP="0085253A">
      <w:pPr>
        <w:pStyle w:val="TxBrp4"/>
        <w:spacing w:line="276" w:lineRule="auto"/>
        <w:rPr>
          <w:rFonts w:asciiTheme="minorHAnsi" w:hAnsiTheme="minorHAnsi" w:cstheme="minorHAnsi"/>
          <w:sz w:val="22"/>
          <w:szCs w:val="22"/>
          <w:lang w:val="fr-FR"/>
        </w:rPr>
      </w:pPr>
    </w:p>
    <w:p w14:paraId="630B6966"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47D7474B" w14:textId="77777777" w:rsidR="0085253A" w:rsidRPr="00266D8B" w:rsidRDefault="0085253A" w:rsidP="0085253A">
      <w:pPr>
        <w:pStyle w:val="TxBrp4"/>
        <w:spacing w:line="276" w:lineRule="auto"/>
        <w:rPr>
          <w:rFonts w:asciiTheme="minorHAnsi" w:hAnsiTheme="minorHAnsi" w:cstheme="minorHAnsi"/>
          <w:sz w:val="22"/>
          <w:szCs w:val="22"/>
          <w:lang w:val="fr-FR"/>
        </w:rPr>
      </w:pPr>
    </w:p>
    <w:p w14:paraId="28D6EEE6"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5897C18C" w14:textId="77777777" w:rsidR="0085253A" w:rsidRPr="00266D8B" w:rsidRDefault="0085253A" w:rsidP="0085253A">
      <w:pPr>
        <w:pStyle w:val="TxBrp4"/>
        <w:spacing w:line="276" w:lineRule="auto"/>
        <w:rPr>
          <w:rFonts w:asciiTheme="minorHAnsi" w:hAnsiTheme="minorHAnsi" w:cstheme="minorHAnsi"/>
          <w:sz w:val="22"/>
          <w:szCs w:val="22"/>
          <w:lang w:val="fr-FR"/>
        </w:rPr>
      </w:pPr>
    </w:p>
    <w:p w14:paraId="50E90973"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171C68B5"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37E998C2" w14:textId="77777777" w:rsidR="0085253A" w:rsidRPr="00266D8B"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17961C60" w14:textId="77777777" w:rsidR="0085253A" w:rsidRPr="00266D8B" w:rsidRDefault="0085253A" w:rsidP="0085253A">
      <w:pPr>
        <w:pStyle w:val="TxBrp4"/>
        <w:spacing w:line="276" w:lineRule="auto"/>
        <w:rPr>
          <w:rFonts w:asciiTheme="minorHAnsi" w:hAnsiTheme="minorHAnsi" w:cstheme="minorHAnsi"/>
          <w:sz w:val="22"/>
          <w:szCs w:val="22"/>
          <w:lang w:val="fr-FR"/>
        </w:rPr>
      </w:pPr>
    </w:p>
    <w:p w14:paraId="74CB56CE" w14:textId="77777777" w:rsidR="0085253A" w:rsidRDefault="0085253A" w:rsidP="0085253A">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37CE0510" w14:textId="77777777" w:rsidR="0085253A" w:rsidRDefault="0085253A" w:rsidP="0085253A">
      <w:pPr>
        <w:pStyle w:val="TxBrp4"/>
        <w:spacing w:line="276" w:lineRule="auto"/>
        <w:rPr>
          <w:rFonts w:asciiTheme="minorHAnsi" w:hAnsiTheme="minorHAnsi" w:cstheme="minorHAnsi"/>
          <w:sz w:val="22"/>
          <w:szCs w:val="22"/>
          <w:lang w:val="fr-FR"/>
        </w:rPr>
      </w:pPr>
    </w:p>
    <w:p w14:paraId="75A503C3" w14:textId="77777777" w:rsidR="0085253A" w:rsidRDefault="0085253A" w:rsidP="0085253A">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de la dalle englobe également : </w:t>
      </w:r>
    </w:p>
    <w:p w14:paraId="568E3E95" w14:textId="77777777" w:rsidR="0085253A" w:rsidRPr="003239A7" w:rsidRDefault="0085253A" w:rsidP="0085253A">
      <w:pPr>
        <w:pStyle w:val="TxBrp4"/>
        <w:spacing w:line="276" w:lineRule="auto"/>
        <w:rPr>
          <w:rFonts w:asciiTheme="minorHAnsi" w:hAnsiTheme="minorHAnsi" w:cstheme="minorHAnsi"/>
          <w:b/>
          <w:bCs/>
          <w:sz w:val="22"/>
          <w:szCs w:val="22"/>
          <w:lang w:val="fr-FR"/>
        </w:rPr>
      </w:pPr>
    </w:p>
    <w:p w14:paraId="2A03C5F4" w14:textId="77777777" w:rsidR="0085253A" w:rsidRPr="00BF2D66" w:rsidRDefault="0085253A" w:rsidP="0085253A">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en stabilisé avec des mortiers de ragréage adaptés offrant une résistance à la pression de ≥ 30 N/mm</w:t>
      </w:r>
      <w:r w:rsidRPr="00BF2D66">
        <w:rPr>
          <w:rFonts w:asciiTheme="minorHAnsi" w:hAnsiTheme="minorHAnsi" w:cstheme="minorHAnsi"/>
          <w:sz w:val="22"/>
          <w:szCs w:val="22"/>
          <w:vertAlign w:val="superscript"/>
          <w:lang w:val="fr-FR"/>
        </w:rPr>
        <w:t xml:space="preserve">2 </w:t>
      </w:r>
      <w:r w:rsidRPr="00BF2D66">
        <w:rPr>
          <w:rFonts w:asciiTheme="minorHAnsi" w:hAnsiTheme="minorHAnsi" w:cstheme="minorHAnsi"/>
          <w:sz w:val="22"/>
          <w:szCs w:val="22"/>
          <w:lang w:val="fr-FR"/>
        </w:rPr>
        <w:t>mesurée selon NEN-EN 13892 et une résistance à la flexion de ≥ 8 N/mm² mesurée selon NEN-EN 13892. Ces mortiers doivent également porter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6DCDE3BA" w14:textId="77777777" w:rsidR="0085253A" w:rsidRPr="00BF2D66" w:rsidRDefault="0085253A" w:rsidP="0085253A">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 à base de sulfate de calcium offrant une résistance à la pression de &gt; 20,0 N/mm² et une résistance à la flexion de 8,0 N/mm² selon NEN-EN 13892 et portant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0EA6385B" w14:textId="77777777" w:rsidR="0085253A" w:rsidRPr="00BF2D66" w:rsidRDefault="0085253A" w:rsidP="0085253A">
      <w:pPr>
        <w:pStyle w:val="TxBrp6"/>
        <w:numPr>
          <w:ilvl w:val="0"/>
          <w:numId w:val="3"/>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 CM du taux d’humidité de la chape. Pour une chape adhésive, il convient également de déterminer le taux d’humidité du béton d’isolation et du sol porteur.</w:t>
      </w:r>
    </w:p>
    <w:p w14:paraId="19CCB02F"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d’humidité maximum est de 2,0 % pour les chapes liées au ciment et de 0,5 % pour les chapes anhydrites.</w:t>
      </w:r>
    </w:p>
    <w:p w14:paraId="5C8FCC98"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d’humidité maximum admis est de 1,8 % pour les chapes liées au ciment et de 0,3 % pour les chapes anhydrites.</w:t>
      </w:r>
    </w:p>
    <w:p w14:paraId="13A8D50A" w14:textId="77777777" w:rsidR="0085253A" w:rsidRPr="00BF2D66" w:rsidRDefault="0085253A" w:rsidP="0085253A">
      <w:pPr>
        <w:pStyle w:val="TxBrp4"/>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w:t>
      </w:r>
      <w:r w:rsidRPr="00BF2D66">
        <w:rPr>
          <w:rFonts w:asciiTheme="minorHAnsi" w:hAnsiTheme="minorHAnsi" w:cstheme="minorHAnsi"/>
          <w:sz w:val="22"/>
          <w:szCs w:val="22"/>
          <w:lang w:val="fr-FR"/>
        </w:rPr>
        <w:lastRenderedPageBreak/>
        <w:t>heures après la pose du revêtement de sol ; augmenter la température de l’eau par incréments de maximum 5 °C par jour. Les joints de la chape doivent être repris dans le revêtement de sol conformément aux directives de la NIT 241 point 7.2.5.</w:t>
      </w:r>
    </w:p>
    <w:p w14:paraId="4F0190BC" w14:textId="77777777" w:rsidR="0085253A"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 sec en permanence et exempt de graisse et de salissures, conformément aux exigenc</w:t>
      </w:r>
      <w:r>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0A1A6DAB" w14:textId="77777777" w:rsidR="0085253A" w:rsidRPr="00BF2D66" w:rsidRDefault="0085253A" w:rsidP="0085253A">
      <w:pPr>
        <w:pStyle w:val="TxBrp5"/>
        <w:spacing w:line="276" w:lineRule="auto"/>
        <w:ind w:left="683" w:firstLine="0"/>
        <w:rPr>
          <w:rFonts w:asciiTheme="minorHAnsi" w:hAnsiTheme="minorHAnsi" w:cstheme="minorHAnsi"/>
          <w:sz w:val="22"/>
          <w:szCs w:val="22"/>
          <w:lang w:val="fr-FR"/>
        </w:rPr>
      </w:pPr>
    </w:p>
    <w:p w14:paraId="32EDE5C8" w14:textId="77777777" w:rsidR="0085253A" w:rsidRDefault="0085253A" w:rsidP="0085253A">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 xml:space="preserve">Chape à base de ciment : </w:t>
      </w:r>
    </w:p>
    <w:p w14:paraId="6B94E705" w14:textId="77777777" w:rsidR="0085253A" w:rsidRPr="00694565" w:rsidRDefault="0085253A" w:rsidP="0085253A">
      <w:pPr>
        <w:pStyle w:val="TxBrp5"/>
        <w:spacing w:line="276" w:lineRule="auto"/>
        <w:ind w:left="323" w:firstLine="0"/>
        <w:rPr>
          <w:rFonts w:asciiTheme="minorHAnsi" w:hAnsiTheme="minorHAnsi" w:cstheme="minorHAnsi"/>
          <w:b/>
          <w:bCs/>
          <w:sz w:val="22"/>
          <w:szCs w:val="22"/>
          <w:u w:val="single"/>
          <w:lang w:val="fr-FR"/>
        </w:rPr>
      </w:pPr>
    </w:p>
    <w:p w14:paraId="4A6FA1F4" w14:textId="77777777" w:rsidR="0085253A" w:rsidRPr="00BF2D66" w:rsidRDefault="0085253A" w:rsidP="0085253A">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d’égalisation. Le primaire présente un poids spécifique de 1,01 kg/l et un rendement de</w:t>
      </w:r>
      <w:r>
        <w:rPr>
          <w:rFonts w:asciiTheme="minorHAnsi" w:hAnsiTheme="minorHAnsi" w:cstheme="minorHAnsi"/>
          <w:sz w:val="22"/>
          <w:szCs w:val="22"/>
          <w:lang w:val="fr-FR"/>
        </w:rPr>
        <w:t xml:space="preserve"> 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Pr>
          <w:rFonts w:asciiTheme="minorHAnsi" w:hAnsiTheme="minorHAnsi" w:cstheme="minorHAnsi"/>
          <w:sz w:val="22"/>
          <w:szCs w:val="22"/>
          <w:lang w:val="fr-FR"/>
        </w:rPr>
        <w:t>ce produit 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0"/>
    <w:p w14:paraId="37A4E04A" w14:textId="77777777" w:rsidR="0085253A" w:rsidRPr="00BF2D66" w:rsidRDefault="0085253A" w:rsidP="0085253A">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résistance à la pression de &gt; 34,0 N/mm² et une résistance à la flexion de 9,0 N/mm² selon NEN-EN 13892</w:t>
      </w:r>
      <w:r>
        <w:rPr>
          <w:rFonts w:asciiTheme="minorHAnsi" w:hAnsiTheme="minorHAnsi" w:cstheme="minorHAnsi"/>
          <w:sz w:val="22"/>
          <w:szCs w:val="22"/>
          <w:lang w:val="fr-FR"/>
        </w:rPr>
        <w:t xml:space="preserve">.  Ce </w:t>
      </w:r>
      <w:bookmarkStart w:id="1" w:name="_Hlk183084115"/>
      <w:r>
        <w:rPr>
          <w:rFonts w:asciiTheme="minorHAnsi" w:hAnsiTheme="minorHAnsi" w:cstheme="minorHAnsi"/>
          <w:sz w:val="22"/>
          <w:szCs w:val="22"/>
          <w:lang w:val="fr-FR"/>
        </w:rPr>
        <w:t>produit est conforme à l’Emicode ‘’EC1+’’ en porte le label ‘’</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4B3D37C5" w14:textId="77777777" w:rsidR="0085253A" w:rsidRPr="00F765C4" w:rsidRDefault="0085253A" w:rsidP="0085253A">
      <w:pPr>
        <w:pStyle w:val="TxBrp5"/>
        <w:numPr>
          <w:ilvl w:val="3"/>
          <w:numId w:val="3"/>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 xml:space="preserve">Les produits d’égalisation existants qui ne nécessitent pas de primaire avec une résistance à la pression de &gt; 33,0 N/mm² et une résistance à la flexion de 11,0 N/mm² selon NEN-EN 13892.  Ce produit est conforme à l’Emicode ‘’EC1+’’ en porte le label ‘’90 % moins de poussière’’. </w:t>
      </w:r>
    </w:p>
    <w:p w14:paraId="069165F3" w14:textId="77777777" w:rsidR="0085253A" w:rsidRPr="00F765C4" w:rsidRDefault="0085253A" w:rsidP="0085253A">
      <w:pPr>
        <w:pStyle w:val="TxBrp5"/>
        <w:spacing w:line="276" w:lineRule="auto"/>
        <w:ind w:left="1073" w:firstLine="0"/>
        <w:rPr>
          <w:rFonts w:asciiTheme="minorHAnsi" w:hAnsiTheme="minorHAnsi" w:cstheme="minorHAnsi"/>
          <w:sz w:val="22"/>
          <w:szCs w:val="22"/>
          <w:lang w:val="fr-FR"/>
        </w:rPr>
      </w:pPr>
    </w:p>
    <w:p w14:paraId="1300C58A" w14:textId="77777777" w:rsidR="0085253A" w:rsidRDefault="0085253A" w:rsidP="0085253A">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 :</w:t>
      </w:r>
    </w:p>
    <w:p w14:paraId="1FA703B2" w14:textId="77777777" w:rsidR="0085253A" w:rsidRPr="00CD5D3F" w:rsidRDefault="0085253A" w:rsidP="0085253A">
      <w:pPr>
        <w:pStyle w:val="TxBrp5"/>
        <w:spacing w:line="276" w:lineRule="auto"/>
        <w:ind w:left="0" w:firstLine="0"/>
        <w:rPr>
          <w:rFonts w:asciiTheme="minorHAnsi" w:hAnsiTheme="minorHAnsi" w:cstheme="minorHAnsi"/>
          <w:b/>
          <w:bCs/>
          <w:sz w:val="22"/>
          <w:szCs w:val="22"/>
          <w:u w:val="single"/>
          <w:lang w:val="fr-FR"/>
        </w:rPr>
      </w:pPr>
    </w:p>
    <w:p w14:paraId="65457EDB" w14:textId="77777777" w:rsidR="0085253A" w:rsidRPr="008A73A4" w:rsidRDefault="0085253A" w:rsidP="0085253A">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L’application sur la chape en anhydrite synthétique d’un apprêt adapté à base de dispersion acrylique présentant un poids spécifique de 1,01 kg/l</w:t>
      </w:r>
      <w:r w:rsidRPr="00D9763D">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et un rendement de </w:t>
      </w: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  Ce</w:t>
      </w:r>
      <w:bookmarkStart w:id="2" w:name="_Hlk183083947"/>
      <w:r w:rsidRPr="00C506CE">
        <w:rPr>
          <w:rFonts w:asciiTheme="minorHAnsi" w:hAnsiTheme="minorHAnsi" w:cstheme="minorHAnsi"/>
          <w:sz w:val="22"/>
          <w:szCs w:val="22"/>
          <w:lang w:val="fr-FR"/>
        </w:rPr>
        <w:t xml:space="preserve"> produit </w:t>
      </w:r>
      <w:r>
        <w:rPr>
          <w:rFonts w:asciiTheme="minorHAnsi" w:hAnsiTheme="minorHAnsi" w:cstheme="minorHAnsi"/>
          <w:sz w:val="22"/>
          <w:szCs w:val="22"/>
          <w:lang w:val="fr-FR"/>
        </w:rPr>
        <w:t>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2"/>
    <w:p w14:paraId="3620846E" w14:textId="77777777" w:rsidR="0085253A" w:rsidRPr="006B393F" w:rsidRDefault="0085253A" w:rsidP="0085253A">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égalisation à base de sulfate de calcium offrant une résistance à la pression de &gt; 35,0 N/mm² et une résistance à la flexion de 9,0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188546E1" w14:textId="77777777" w:rsidR="0085253A" w:rsidRPr="006B393F" w:rsidRDefault="0085253A" w:rsidP="0085253A">
      <w:pPr>
        <w:pStyle w:val="TxBrp5"/>
        <w:numPr>
          <w:ilvl w:val="3"/>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4BFCF430" w14:textId="77777777" w:rsidR="0085253A" w:rsidRPr="00BF2D66" w:rsidRDefault="0085253A" w:rsidP="0085253A">
      <w:pPr>
        <w:pStyle w:val="TxBrp5"/>
        <w:spacing w:line="276" w:lineRule="auto"/>
        <w:ind w:left="713" w:firstLine="0"/>
        <w:rPr>
          <w:rFonts w:asciiTheme="minorHAnsi" w:hAnsiTheme="minorHAnsi" w:cstheme="minorHAnsi"/>
          <w:sz w:val="22"/>
          <w:szCs w:val="22"/>
          <w:lang w:val="fr-FR"/>
        </w:rPr>
      </w:pPr>
    </w:p>
    <w:p w14:paraId="4230B618"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L’épaisseur de la couche et la résistance de l’égalisation sont fonction de la charge ponctuelle permanente et de la nature du trafic.</w:t>
      </w:r>
    </w:p>
    <w:p w14:paraId="61C69CB2"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Pr="00BF2D66">
        <w:rPr>
          <w:rFonts w:asciiTheme="minorHAnsi" w:hAnsiTheme="minorHAnsi" w:cstheme="minorHAnsi"/>
          <w:sz w:val="22"/>
          <w:szCs w:val="22"/>
          <w:lang w:val="fr-FR"/>
        </w:rPr>
        <w:t>obtenir une surface parfaitement plane.</w:t>
      </w:r>
    </w:p>
    <w:p w14:paraId="1B763AAC" w14:textId="77777777" w:rsidR="0085253A" w:rsidRPr="00BF2D66" w:rsidRDefault="0085253A" w:rsidP="0085253A">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Utiliser dans une même pièce des dalles d’un même lot et dont les numéros de lot se suivent.</w:t>
      </w:r>
    </w:p>
    <w:p w14:paraId="21B5A271" w14:textId="77777777" w:rsidR="0085253A" w:rsidRPr="00BF2D66" w:rsidRDefault="0085253A" w:rsidP="0085253A">
      <w:pPr>
        <w:pStyle w:val="TxBrp4"/>
        <w:numPr>
          <w:ilvl w:val="0"/>
          <w:numId w:val="3"/>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dalles sont installées</w:t>
      </w:r>
      <w:r>
        <w:rPr>
          <w:rFonts w:asciiTheme="minorHAnsi" w:hAnsiTheme="minorHAnsi" w:cstheme="minorHAnsi"/>
          <w:sz w:val="22"/>
          <w:szCs w:val="22"/>
          <w:lang w:val="fr-FR"/>
        </w:rPr>
        <w:t xml:space="preserve"> conforme les consignes de pose et</w:t>
      </w:r>
      <w:r w:rsidRPr="00BF2D66">
        <w:rPr>
          <w:rFonts w:asciiTheme="minorHAnsi" w:hAnsiTheme="minorHAnsi" w:cstheme="minorHAnsi"/>
          <w:sz w:val="22"/>
          <w:szCs w:val="22"/>
          <w:lang w:val="fr-FR"/>
        </w:rPr>
        <w:t xml:space="preserve"> dans le motif de pose demandé.</w:t>
      </w:r>
    </w:p>
    <w:p w14:paraId="5025873E" w14:textId="77777777" w:rsidR="0085253A" w:rsidRPr="00BF2D66" w:rsidRDefault="0085253A" w:rsidP="0085253A">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 xml:space="preserve">L’encollage des dalles se fait avec un fixateur </w:t>
      </w:r>
      <w:r w:rsidRPr="00C97BD5">
        <w:rPr>
          <w:rFonts w:asciiTheme="minorHAnsi" w:hAnsiTheme="minorHAnsi" w:cstheme="minorHAnsi"/>
          <w:sz w:val="22"/>
          <w:szCs w:val="22"/>
          <w:lang w:val="fr-FR"/>
        </w:rPr>
        <w:t>à forte adhérence finale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(colle de déménagement) 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Ce produit est conforme l’Emicode ‘’EC1+’’.  </w:t>
      </w:r>
      <w:r w:rsidRPr="00BF2D66">
        <w:rPr>
          <w:rFonts w:asciiTheme="minorHAnsi" w:hAnsiTheme="minorHAnsi" w:cstheme="minorHAnsi"/>
          <w:sz w:val="22"/>
          <w:szCs w:val="22"/>
          <w:lang w:val="fr-FR"/>
        </w:rPr>
        <w:t>Le lit de colle doit être devenu totalement transparent avant la pose des dalles, qui doivent ensuite être cylindrées soigneusement.</w:t>
      </w:r>
    </w:p>
    <w:p w14:paraId="4AC22639" w14:textId="77777777" w:rsidR="0085253A" w:rsidRPr="00BF2D66" w:rsidRDefault="0085253A" w:rsidP="0085253A">
      <w:pPr>
        <w:pStyle w:val="TxBrp4"/>
        <w:numPr>
          <w:ilvl w:val="0"/>
          <w:numId w:val="3"/>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1541243D"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dalle est finie contre le mur en fonction de la plinthe choisie.</w:t>
      </w:r>
    </w:p>
    <w:p w14:paraId="7F17EF3B" w14:textId="77777777" w:rsidR="0085253A" w:rsidRPr="00BF2D66" w:rsidRDefault="0085253A" w:rsidP="0085253A">
      <w:pPr>
        <w:pStyle w:val="TxBrp5"/>
        <w:numPr>
          <w:ilvl w:val="0"/>
          <w:numId w:val="3"/>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 du revêtement de sol, y compris l’élimination de la colle excédentaire.</w:t>
      </w:r>
    </w:p>
    <w:p w14:paraId="544197AE" w14:textId="77777777" w:rsidR="0085253A" w:rsidRPr="00BF2D66" w:rsidRDefault="0085253A" w:rsidP="0085253A">
      <w:pPr>
        <w:pStyle w:val="TxBrp4"/>
        <w:spacing w:line="276" w:lineRule="auto"/>
        <w:rPr>
          <w:rFonts w:asciiTheme="minorHAnsi" w:hAnsiTheme="minorHAnsi" w:cstheme="minorHAnsi"/>
          <w:sz w:val="22"/>
          <w:szCs w:val="22"/>
          <w:u w:val="single"/>
          <w:lang w:val="fr-FR"/>
        </w:rPr>
      </w:pPr>
    </w:p>
    <w:p w14:paraId="7364C1C1" w14:textId="77777777" w:rsidR="0085253A" w:rsidRPr="00BF2D66" w:rsidRDefault="0085253A" w:rsidP="0085253A">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7B69F741" w14:textId="77777777" w:rsidR="0085253A" w:rsidRPr="00BF2D66" w:rsidRDefault="0085253A" w:rsidP="0085253A">
      <w:pPr>
        <w:spacing w:line="276" w:lineRule="auto"/>
        <w:rPr>
          <w:rFonts w:asciiTheme="minorHAnsi" w:hAnsiTheme="minorHAnsi" w:cstheme="minorHAnsi"/>
          <w:sz w:val="22"/>
          <w:szCs w:val="22"/>
          <w:lang w:val="fr-FR"/>
        </w:rPr>
      </w:pPr>
    </w:p>
    <w:p w14:paraId="2B3F796B"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3D21BAA3" w14:textId="77777777" w:rsidR="0085253A" w:rsidRPr="00BF2D66" w:rsidRDefault="0085253A" w:rsidP="0085253A">
      <w:pPr>
        <w:pStyle w:val="TxBrp11"/>
        <w:tabs>
          <w:tab w:val="left" w:pos="204"/>
        </w:tabs>
        <w:spacing w:line="276" w:lineRule="auto"/>
        <w:rPr>
          <w:rFonts w:asciiTheme="minorHAnsi" w:hAnsiTheme="minorHAnsi" w:cstheme="minorHAnsi"/>
          <w:sz w:val="22"/>
          <w:szCs w:val="22"/>
          <w:lang w:val="fr-FR"/>
        </w:rPr>
      </w:pPr>
    </w:p>
    <w:p w14:paraId="5201E4F7" w14:textId="77777777" w:rsidR="0085253A" w:rsidRPr="00BF2D66" w:rsidRDefault="0085253A" w:rsidP="0085253A">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Entretien et soin du revêtement de sol</w:t>
      </w:r>
    </w:p>
    <w:p w14:paraId="2DB9CB32" w14:textId="77777777" w:rsidR="0085253A" w:rsidRPr="00BF2D66" w:rsidRDefault="0085253A" w:rsidP="0085253A">
      <w:pPr>
        <w:pStyle w:val="TxBrp4"/>
        <w:spacing w:line="276" w:lineRule="auto"/>
        <w:rPr>
          <w:rFonts w:asciiTheme="minorHAnsi" w:hAnsiTheme="minorHAnsi" w:cstheme="minorHAnsi"/>
          <w:sz w:val="22"/>
          <w:szCs w:val="22"/>
          <w:lang w:val="fr-FR"/>
        </w:rPr>
      </w:pPr>
    </w:p>
    <w:p w14:paraId="4BB5137B" w14:textId="77777777" w:rsidR="0085253A" w:rsidRPr="00BF2D66" w:rsidRDefault="0085253A" w:rsidP="0085253A">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7CB9391C" w14:textId="77777777" w:rsidR="0085253A" w:rsidRPr="00BF2D66" w:rsidRDefault="0085253A" w:rsidP="0085253A">
      <w:pPr>
        <w:pStyle w:val="TxBrp4"/>
        <w:spacing w:line="276" w:lineRule="auto"/>
        <w:rPr>
          <w:rFonts w:asciiTheme="minorHAnsi" w:hAnsiTheme="minorHAnsi" w:cstheme="minorHAnsi"/>
          <w:sz w:val="22"/>
          <w:szCs w:val="22"/>
          <w:lang w:val="fr-FR"/>
        </w:rPr>
      </w:pPr>
    </w:p>
    <w:p w14:paraId="68D0E8CC"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u w:val="single"/>
          <w:lang w:val="fr-FR"/>
        </w:rPr>
        <w:t>Mesures préventives</w:t>
      </w:r>
    </w:p>
    <w:p w14:paraId="317FBD3E" w14:textId="77777777" w:rsidR="0085253A" w:rsidRPr="00BF2D66" w:rsidRDefault="0085253A" w:rsidP="0085253A">
      <w:pPr>
        <w:pStyle w:val="TxBrp4"/>
        <w:spacing w:line="276" w:lineRule="auto"/>
        <w:rPr>
          <w:rFonts w:asciiTheme="minorHAnsi" w:hAnsiTheme="minorHAnsi" w:cstheme="minorHAnsi"/>
          <w:sz w:val="22"/>
          <w:szCs w:val="22"/>
          <w:lang w:val="fr-FR"/>
        </w:rPr>
      </w:pPr>
    </w:p>
    <w:p w14:paraId="0C8BB2EB" w14:textId="77777777" w:rsidR="0085253A" w:rsidRDefault="0085253A" w:rsidP="0085253A">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665B881B" w14:textId="77777777" w:rsidR="0085253A" w:rsidRPr="00BF2D66" w:rsidRDefault="0085253A" w:rsidP="0085253A">
      <w:pPr>
        <w:pStyle w:val="TxBrp5"/>
        <w:spacing w:line="276" w:lineRule="auto"/>
        <w:ind w:left="0" w:firstLine="0"/>
        <w:rPr>
          <w:rFonts w:asciiTheme="minorHAnsi" w:hAnsiTheme="minorHAnsi" w:cstheme="minorHAnsi"/>
          <w:sz w:val="22"/>
          <w:szCs w:val="22"/>
          <w:lang w:val="fr-FR"/>
        </w:rPr>
      </w:pPr>
    </w:p>
    <w:p w14:paraId="6081707D" w14:textId="77777777" w:rsidR="0085253A" w:rsidRPr="00BF2D66" w:rsidRDefault="0085253A" w:rsidP="0085253A">
      <w:pPr>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Assurance de garantie spéciale pour les chantiers de plus de 2.000 m²</w:t>
      </w:r>
    </w:p>
    <w:p w14:paraId="60C54ED7" w14:textId="77777777" w:rsidR="0085253A" w:rsidRPr="00BF2D66" w:rsidRDefault="0085253A" w:rsidP="0085253A">
      <w:pPr>
        <w:spacing w:line="276" w:lineRule="auto"/>
        <w:ind w:left="360"/>
        <w:rPr>
          <w:rFonts w:asciiTheme="minorHAnsi" w:hAnsiTheme="minorHAnsi" w:cstheme="minorHAnsi"/>
          <w:sz w:val="22"/>
          <w:szCs w:val="22"/>
          <w:lang w:val="fr-FR"/>
        </w:rPr>
      </w:pPr>
    </w:p>
    <w:p w14:paraId="0C6E695F"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 revêtement de sol, tant sur le produit que sur l’exécution.</w:t>
      </w:r>
    </w:p>
    <w:p w14:paraId="02CD1E22"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p>
    <w:p w14:paraId="1209AFCF"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n’est cependant octroyée que si le maître de l’ouvrage fait appel à une entreprise de pose reconnue par le fabricant.</w:t>
      </w:r>
    </w:p>
    <w:p w14:paraId="18AA472F"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l’entrepreneur général / maître de l’ouvrage / entreprise de pose autorisent le fabricant à effectuer des contrôles réguliers sur le chantier, selon une procédure déterminée à l’avance.</w:t>
      </w:r>
    </w:p>
    <w:p w14:paraId="57799C48"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p>
    <w:p w14:paraId="6F6D578F"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Inscription au cahier des charges</w:t>
      </w:r>
    </w:p>
    <w:p w14:paraId="50C50E3F" w14:textId="77777777" w:rsidR="0085253A" w:rsidRPr="00BF2D66" w:rsidRDefault="0085253A" w:rsidP="0085253A">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Adjudication / demande de prix entrepreneur général</w:t>
      </w:r>
    </w:p>
    <w:p w14:paraId="32C0661F" w14:textId="77777777" w:rsidR="0085253A" w:rsidRPr="00BF2D66" w:rsidRDefault="0085253A" w:rsidP="0085253A">
      <w:pPr>
        <w:numPr>
          <w:ilvl w:val="1"/>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Demande au maître de l’ouvrage</w:t>
      </w:r>
    </w:p>
    <w:p w14:paraId="1A1A87EF"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lastRenderedPageBreak/>
        <w:t>Demande écrite de la garantie assurée par l’entreprise de pose</w:t>
      </w:r>
    </w:p>
    <w:p w14:paraId="06DD990B"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Conseils techniques</w:t>
      </w:r>
    </w:p>
    <w:p w14:paraId="7E44FDD4"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avant la pose</w:t>
      </w:r>
    </w:p>
    <w:p w14:paraId="37CAAF1E"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pendant la pose</w:t>
      </w:r>
    </w:p>
    <w:p w14:paraId="75ACEA89"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Contrôle définitif et rapport définitif incluant le montant assuré</w:t>
      </w:r>
    </w:p>
    <w:p w14:paraId="05AE8568" w14:textId="77777777" w:rsidR="0085253A" w:rsidRPr="00BF2D66" w:rsidRDefault="0085253A" w:rsidP="0085253A">
      <w:pPr>
        <w:numPr>
          <w:ilvl w:val="0"/>
          <w:numId w:val="1"/>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Délivrance de la garantie en cas d’avis positif à l’entreprise de pose</w:t>
      </w:r>
    </w:p>
    <w:p w14:paraId="13408F2C" w14:textId="77777777" w:rsidR="0085253A" w:rsidRPr="00BF2D66" w:rsidRDefault="0085253A" w:rsidP="0085253A">
      <w:pPr>
        <w:pStyle w:val="TxBrp3"/>
        <w:numPr>
          <w:ilvl w:val="0"/>
          <w:numId w:val="1"/>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2EC13ACA" w14:textId="77777777" w:rsidR="0085253A" w:rsidRPr="00BF2D66" w:rsidRDefault="0085253A" w:rsidP="0085253A">
      <w:pPr>
        <w:pStyle w:val="TxBrp3"/>
        <w:tabs>
          <w:tab w:val="clear" w:pos="204"/>
        </w:tabs>
        <w:spacing w:line="276" w:lineRule="auto"/>
        <w:rPr>
          <w:rFonts w:asciiTheme="minorHAnsi" w:hAnsiTheme="minorHAnsi" w:cstheme="minorHAnsi"/>
          <w:sz w:val="22"/>
          <w:szCs w:val="22"/>
          <w:lang w:val="fr-FR"/>
        </w:rPr>
      </w:pPr>
    </w:p>
    <w:p w14:paraId="45F92CE0" w14:textId="77777777" w:rsidR="0085253A" w:rsidRPr="00BF2D66" w:rsidRDefault="0085253A" w:rsidP="0085253A">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 fabricant applique les pourcentages d’amortissement suivants, y compris en cas de compensation en nature : </w:t>
      </w:r>
    </w:p>
    <w:p w14:paraId="033B70E2" w14:textId="77777777" w:rsidR="0085253A" w:rsidRPr="00BF2D66" w:rsidRDefault="0085253A" w:rsidP="0085253A">
      <w:pPr>
        <w:pStyle w:val="TxBrp3"/>
        <w:spacing w:line="276" w:lineRule="auto"/>
        <w:rPr>
          <w:rFonts w:asciiTheme="minorHAnsi" w:hAnsiTheme="minorHAnsi" w:cstheme="minorHAnsi"/>
          <w:sz w:val="22"/>
          <w:szCs w:val="22"/>
          <w:lang w:val="fr-FR"/>
        </w:rPr>
      </w:pPr>
    </w:p>
    <w:p w14:paraId="1A6649F9"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1</w:t>
      </w:r>
      <w:r w:rsidRPr="00BF2D66">
        <w:rPr>
          <w:rFonts w:asciiTheme="minorHAnsi" w:hAnsiTheme="minorHAnsi" w:cstheme="minorHAnsi"/>
          <w:sz w:val="22"/>
          <w:szCs w:val="22"/>
          <w:vertAlign w:val="superscript"/>
          <w:lang w:val="fr-FR"/>
        </w:rPr>
        <w:t>ière</w:t>
      </w:r>
      <w:r w:rsidRPr="00BF2D66">
        <w:rPr>
          <w:rFonts w:asciiTheme="minorHAnsi" w:hAnsiTheme="minorHAnsi" w:cstheme="minorHAnsi"/>
          <w:sz w:val="22"/>
          <w:szCs w:val="22"/>
          <w:lang w:val="fr-FR"/>
        </w:rPr>
        <w:t xml:space="preserve"> année de garantie : remboursement à 100 % du montant total ;</w:t>
      </w:r>
    </w:p>
    <w:p w14:paraId="61308DF4"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2</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3</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85 % du montant total ;</w:t>
      </w:r>
    </w:p>
    <w:p w14:paraId="1EC2B8D6"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4</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5</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60 % du montant total ;</w:t>
      </w:r>
    </w:p>
    <w:p w14:paraId="2F39B280" w14:textId="77777777" w:rsidR="0085253A" w:rsidRPr="00BF2D66" w:rsidRDefault="0085253A" w:rsidP="0085253A">
      <w:p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6</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et 7</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années de garantie : remboursement à 30 % du montant total ;</w:t>
      </w:r>
    </w:p>
    <w:p w14:paraId="53819A49" w14:textId="77777777" w:rsidR="0085253A" w:rsidRPr="00BF2D66" w:rsidRDefault="0085253A" w:rsidP="0085253A">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5FE11D4B" w14:textId="50477B5E" w:rsidR="00CA3748" w:rsidRDefault="00CA3748" w:rsidP="00BF2D66">
      <w:pPr>
        <w:widowControl/>
        <w:autoSpaceDE/>
        <w:autoSpaceDN/>
        <w:adjustRightInd/>
        <w:spacing w:line="276" w:lineRule="auto"/>
        <w:rPr>
          <w:rFonts w:asciiTheme="minorHAnsi" w:hAnsiTheme="minorHAnsi" w:cstheme="minorHAnsi"/>
          <w:sz w:val="22"/>
          <w:szCs w:val="22"/>
          <w:u w:val="single"/>
          <w:lang w:val="fr-FR"/>
        </w:rPr>
      </w:pPr>
    </w:p>
    <w:sectPr w:rsidR="00CA3748" w:rsidSect="007B3909">
      <w:headerReference w:type="default" r:id="rId7"/>
      <w:pgSz w:w="12240" w:h="15840"/>
      <w:pgMar w:top="1440" w:right="1041" w:bottom="993"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6EB8" w14:textId="77777777" w:rsidR="009319A3" w:rsidRDefault="009319A3" w:rsidP="00212DC4">
      <w:r>
        <w:separator/>
      </w:r>
    </w:p>
  </w:endnote>
  <w:endnote w:type="continuationSeparator" w:id="0">
    <w:p w14:paraId="291F1FC4" w14:textId="77777777" w:rsidR="009319A3" w:rsidRDefault="009319A3"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DAD4" w14:textId="77777777" w:rsidR="009319A3" w:rsidRDefault="009319A3" w:rsidP="00212DC4">
      <w:r>
        <w:separator/>
      </w:r>
    </w:p>
  </w:footnote>
  <w:footnote w:type="continuationSeparator" w:id="0">
    <w:p w14:paraId="6C5C7263" w14:textId="77777777" w:rsidR="009319A3" w:rsidRDefault="009319A3"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8E50" w14:textId="5B04AF13" w:rsidR="009900BC" w:rsidRDefault="009900BC">
    <w:pPr>
      <w:pStyle w:val="Koptekst"/>
    </w:pPr>
    <w:r>
      <w:t>Juillet 2025</w:t>
    </w:r>
  </w:p>
  <w:p w14:paraId="31BE499D" w14:textId="77777777" w:rsidR="00530EEE" w:rsidRDefault="00530E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23798992">
    <w:abstractNumId w:val="1"/>
  </w:num>
  <w:num w:numId="2" w16cid:durableId="1938243953">
    <w:abstractNumId w:val="0"/>
  </w:num>
  <w:num w:numId="3" w16cid:durableId="969750093">
    <w:abstractNumId w:val="3"/>
  </w:num>
  <w:num w:numId="4" w16cid:durableId="33039873">
    <w:abstractNumId w:val="2"/>
  </w:num>
  <w:num w:numId="5" w16cid:durableId="109216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62E"/>
    <w:rsid w:val="00005380"/>
    <w:rsid w:val="00006EB5"/>
    <w:rsid w:val="0001017A"/>
    <w:rsid w:val="00011B18"/>
    <w:rsid w:val="00016A7A"/>
    <w:rsid w:val="00024358"/>
    <w:rsid w:val="0003199F"/>
    <w:rsid w:val="00033C72"/>
    <w:rsid w:val="00036400"/>
    <w:rsid w:val="00053EB0"/>
    <w:rsid w:val="00066599"/>
    <w:rsid w:val="000709C5"/>
    <w:rsid w:val="00083B61"/>
    <w:rsid w:val="00083FA7"/>
    <w:rsid w:val="00084748"/>
    <w:rsid w:val="00092DF5"/>
    <w:rsid w:val="000A1B0E"/>
    <w:rsid w:val="000A1DD0"/>
    <w:rsid w:val="000A59DE"/>
    <w:rsid w:val="000A6438"/>
    <w:rsid w:val="000A6BC8"/>
    <w:rsid w:val="000B1D75"/>
    <w:rsid w:val="000C6137"/>
    <w:rsid w:val="000D7B67"/>
    <w:rsid w:val="000E286D"/>
    <w:rsid w:val="000E2D0F"/>
    <w:rsid w:val="000E63CA"/>
    <w:rsid w:val="000F15D0"/>
    <w:rsid w:val="00104510"/>
    <w:rsid w:val="00113575"/>
    <w:rsid w:val="00123A5D"/>
    <w:rsid w:val="00125CCE"/>
    <w:rsid w:val="00127BE8"/>
    <w:rsid w:val="00135C81"/>
    <w:rsid w:val="00140151"/>
    <w:rsid w:val="00142F4D"/>
    <w:rsid w:val="00153D98"/>
    <w:rsid w:val="00166B3F"/>
    <w:rsid w:val="00176273"/>
    <w:rsid w:val="00181120"/>
    <w:rsid w:val="00181275"/>
    <w:rsid w:val="00182B27"/>
    <w:rsid w:val="001933D2"/>
    <w:rsid w:val="00195A8A"/>
    <w:rsid w:val="001A32BA"/>
    <w:rsid w:val="001A3438"/>
    <w:rsid w:val="001A529D"/>
    <w:rsid w:val="001C569D"/>
    <w:rsid w:val="001C7F8A"/>
    <w:rsid w:val="001D535B"/>
    <w:rsid w:val="001D57B1"/>
    <w:rsid w:val="001E420F"/>
    <w:rsid w:val="001F049D"/>
    <w:rsid w:val="00212DC4"/>
    <w:rsid w:val="00213EB1"/>
    <w:rsid w:val="0021535B"/>
    <w:rsid w:val="0022474C"/>
    <w:rsid w:val="002255DD"/>
    <w:rsid w:val="0027189F"/>
    <w:rsid w:val="0027663C"/>
    <w:rsid w:val="0028409E"/>
    <w:rsid w:val="002918E2"/>
    <w:rsid w:val="002D2D39"/>
    <w:rsid w:val="002D6A25"/>
    <w:rsid w:val="002E557B"/>
    <w:rsid w:val="002E5D76"/>
    <w:rsid w:val="002E66CC"/>
    <w:rsid w:val="0030037D"/>
    <w:rsid w:val="003114FF"/>
    <w:rsid w:val="0032080D"/>
    <w:rsid w:val="0035147D"/>
    <w:rsid w:val="003616E6"/>
    <w:rsid w:val="00363FCA"/>
    <w:rsid w:val="00364C15"/>
    <w:rsid w:val="00377578"/>
    <w:rsid w:val="003822BC"/>
    <w:rsid w:val="00382EBE"/>
    <w:rsid w:val="0038549E"/>
    <w:rsid w:val="00392D52"/>
    <w:rsid w:val="003963E6"/>
    <w:rsid w:val="003A04D1"/>
    <w:rsid w:val="003A4BAB"/>
    <w:rsid w:val="003C1895"/>
    <w:rsid w:val="003D13E3"/>
    <w:rsid w:val="003D6E81"/>
    <w:rsid w:val="003E1182"/>
    <w:rsid w:val="003F09FB"/>
    <w:rsid w:val="003F0AF1"/>
    <w:rsid w:val="004041EC"/>
    <w:rsid w:val="00413317"/>
    <w:rsid w:val="004221BA"/>
    <w:rsid w:val="00427C3A"/>
    <w:rsid w:val="0043315C"/>
    <w:rsid w:val="004417DC"/>
    <w:rsid w:val="00442B75"/>
    <w:rsid w:val="004572B2"/>
    <w:rsid w:val="0046501D"/>
    <w:rsid w:val="00470ED0"/>
    <w:rsid w:val="004766EE"/>
    <w:rsid w:val="00483A39"/>
    <w:rsid w:val="0048640C"/>
    <w:rsid w:val="00493D2E"/>
    <w:rsid w:val="004966A1"/>
    <w:rsid w:val="004A0E3F"/>
    <w:rsid w:val="004A2640"/>
    <w:rsid w:val="004A46DB"/>
    <w:rsid w:val="004A62C3"/>
    <w:rsid w:val="004B57C3"/>
    <w:rsid w:val="004C59C1"/>
    <w:rsid w:val="004D013E"/>
    <w:rsid w:val="004D2331"/>
    <w:rsid w:val="004D3587"/>
    <w:rsid w:val="004D5B8B"/>
    <w:rsid w:val="004E5EAF"/>
    <w:rsid w:val="004F2E10"/>
    <w:rsid w:val="004F3534"/>
    <w:rsid w:val="0050078F"/>
    <w:rsid w:val="00520A66"/>
    <w:rsid w:val="00530EEE"/>
    <w:rsid w:val="00535868"/>
    <w:rsid w:val="00542620"/>
    <w:rsid w:val="0054336E"/>
    <w:rsid w:val="00543E38"/>
    <w:rsid w:val="00553C61"/>
    <w:rsid w:val="0057780A"/>
    <w:rsid w:val="005A5A2B"/>
    <w:rsid w:val="005B0B5F"/>
    <w:rsid w:val="005B4638"/>
    <w:rsid w:val="005C41CC"/>
    <w:rsid w:val="005D14B7"/>
    <w:rsid w:val="005D2C36"/>
    <w:rsid w:val="005D642F"/>
    <w:rsid w:val="005E5B5B"/>
    <w:rsid w:val="005F4F3E"/>
    <w:rsid w:val="005F5946"/>
    <w:rsid w:val="00611BE0"/>
    <w:rsid w:val="006157BD"/>
    <w:rsid w:val="00632975"/>
    <w:rsid w:val="00632D13"/>
    <w:rsid w:val="00640B2B"/>
    <w:rsid w:val="00647145"/>
    <w:rsid w:val="0065164A"/>
    <w:rsid w:val="006516CE"/>
    <w:rsid w:val="00657722"/>
    <w:rsid w:val="00676BF2"/>
    <w:rsid w:val="00683D37"/>
    <w:rsid w:val="00695EEB"/>
    <w:rsid w:val="006A23E8"/>
    <w:rsid w:val="006A427F"/>
    <w:rsid w:val="006C262A"/>
    <w:rsid w:val="006C548E"/>
    <w:rsid w:val="006D07D6"/>
    <w:rsid w:val="006D27A1"/>
    <w:rsid w:val="006D3A83"/>
    <w:rsid w:val="006E71DD"/>
    <w:rsid w:val="006E7A5A"/>
    <w:rsid w:val="0070149A"/>
    <w:rsid w:val="0070281C"/>
    <w:rsid w:val="0072508D"/>
    <w:rsid w:val="007253F5"/>
    <w:rsid w:val="00730720"/>
    <w:rsid w:val="0073471B"/>
    <w:rsid w:val="00740A52"/>
    <w:rsid w:val="00741727"/>
    <w:rsid w:val="00743774"/>
    <w:rsid w:val="00744B32"/>
    <w:rsid w:val="007500A5"/>
    <w:rsid w:val="00755143"/>
    <w:rsid w:val="0075624D"/>
    <w:rsid w:val="0077388F"/>
    <w:rsid w:val="007746FA"/>
    <w:rsid w:val="00780A19"/>
    <w:rsid w:val="007856DA"/>
    <w:rsid w:val="007A59AB"/>
    <w:rsid w:val="007B2E8C"/>
    <w:rsid w:val="007B3909"/>
    <w:rsid w:val="007B5FBB"/>
    <w:rsid w:val="007C5B7E"/>
    <w:rsid w:val="007D1DE1"/>
    <w:rsid w:val="007E67BB"/>
    <w:rsid w:val="007E7AAA"/>
    <w:rsid w:val="007F0D0A"/>
    <w:rsid w:val="007F0D8C"/>
    <w:rsid w:val="007F1120"/>
    <w:rsid w:val="007F6104"/>
    <w:rsid w:val="007F656B"/>
    <w:rsid w:val="00801BA3"/>
    <w:rsid w:val="00802DAB"/>
    <w:rsid w:val="0080583E"/>
    <w:rsid w:val="0081128C"/>
    <w:rsid w:val="00812491"/>
    <w:rsid w:val="0083144D"/>
    <w:rsid w:val="008409E0"/>
    <w:rsid w:val="0084574B"/>
    <w:rsid w:val="0085253A"/>
    <w:rsid w:val="00861D5F"/>
    <w:rsid w:val="0088283E"/>
    <w:rsid w:val="00884658"/>
    <w:rsid w:val="00887058"/>
    <w:rsid w:val="008971FD"/>
    <w:rsid w:val="008B04F1"/>
    <w:rsid w:val="008B2C23"/>
    <w:rsid w:val="008C2BDB"/>
    <w:rsid w:val="008D40FE"/>
    <w:rsid w:val="008D4850"/>
    <w:rsid w:val="008D57FB"/>
    <w:rsid w:val="008E0982"/>
    <w:rsid w:val="008E2CE1"/>
    <w:rsid w:val="008E5F52"/>
    <w:rsid w:val="008F0120"/>
    <w:rsid w:val="008F3B70"/>
    <w:rsid w:val="00900384"/>
    <w:rsid w:val="00902EF4"/>
    <w:rsid w:val="009319A3"/>
    <w:rsid w:val="00932390"/>
    <w:rsid w:val="00952CF3"/>
    <w:rsid w:val="0095506D"/>
    <w:rsid w:val="00955F0C"/>
    <w:rsid w:val="0098213A"/>
    <w:rsid w:val="00984148"/>
    <w:rsid w:val="009900BC"/>
    <w:rsid w:val="00990844"/>
    <w:rsid w:val="009A63C6"/>
    <w:rsid w:val="009C7636"/>
    <w:rsid w:val="009D4729"/>
    <w:rsid w:val="009E0424"/>
    <w:rsid w:val="009F1823"/>
    <w:rsid w:val="009F215B"/>
    <w:rsid w:val="00A11374"/>
    <w:rsid w:val="00A22411"/>
    <w:rsid w:val="00A34758"/>
    <w:rsid w:val="00A35347"/>
    <w:rsid w:val="00A42F6F"/>
    <w:rsid w:val="00A478E6"/>
    <w:rsid w:val="00A50232"/>
    <w:rsid w:val="00A61C0F"/>
    <w:rsid w:val="00A769BB"/>
    <w:rsid w:val="00A977E9"/>
    <w:rsid w:val="00A97C4A"/>
    <w:rsid w:val="00AB6AD2"/>
    <w:rsid w:val="00AE2B50"/>
    <w:rsid w:val="00AE3198"/>
    <w:rsid w:val="00AE718A"/>
    <w:rsid w:val="00AE7606"/>
    <w:rsid w:val="00AE773D"/>
    <w:rsid w:val="00B11BE0"/>
    <w:rsid w:val="00B123C6"/>
    <w:rsid w:val="00B15562"/>
    <w:rsid w:val="00B16DC6"/>
    <w:rsid w:val="00B47B8D"/>
    <w:rsid w:val="00B53BE5"/>
    <w:rsid w:val="00B63EE1"/>
    <w:rsid w:val="00B65E5E"/>
    <w:rsid w:val="00B675E1"/>
    <w:rsid w:val="00B83B48"/>
    <w:rsid w:val="00B8406A"/>
    <w:rsid w:val="00B87031"/>
    <w:rsid w:val="00BD17EE"/>
    <w:rsid w:val="00BD37F7"/>
    <w:rsid w:val="00BD5F3A"/>
    <w:rsid w:val="00BE304C"/>
    <w:rsid w:val="00BF2D66"/>
    <w:rsid w:val="00C00738"/>
    <w:rsid w:val="00C07F1C"/>
    <w:rsid w:val="00C31577"/>
    <w:rsid w:val="00C36E87"/>
    <w:rsid w:val="00C45976"/>
    <w:rsid w:val="00C46E12"/>
    <w:rsid w:val="00C506CE"/>
    <w:rsid w:val="00C628F1"/>
    <w:rsid w:val="00C72C65"/>
    <w:rsid w:val="00C81B21"/>
    <w:rsid w:val="00C82E42"/>
    <w:rsid w:val="00C90287"/>
    <w:rsid w:val="00CA3748"/>
    <w:rsid w:val="00CA7EE2"/>
    <w:rsid w:val="00CB1CBB"/>
    <w:rsid w:val="00CC1404"/>
    <w:rsid w:val="00CC31A8"/>
    <w:rsid w:val="00CE02FE"/>
    <w:rsid w:val="00CE660B"/>
    <w:rsid w:val="00D07C81"/>
    <w:rsid w:val="00D1062E"/>
    <w:rsid w:val="00D15ABD"/>
    <w:rsid w:val="00D53F72"/>
    <w:rsid w:val="00D56FC6"/>
    <w:rsid w:val="00D6326B"/>
    <w:rsid w:val="00D6717C"/>
    <w:rsid w:val="00D679D9"/>
    <w:rsid w:val="00D874EE"/>
    <w:rsid w:val="00D93554"/>
    <w:rsid w:val="00D9763D"/>
    <w:rsid w:val="00DB3EBF"/>
    <w:rsid w:val="00DC0C5F"/>
    <w:rsid w:val="00DC0E13"/>
    <w:rsid w:val="00DC1BBB"/>
    <w:rsid w:val="00DC3F66"/>
    <w:rsid w:val="00DC4DE1"/>
    <w:rsid w:val="00DC6369"/>
    <w:rsid w:val="00DC74A0"/>
    <w:rsid w:val="00DC787F"/>
    <w:rsid w:val="00DD01FA"/>
    <w:rsid w:val="00DE4CF6"/>
    <w:rsid w:val="00DF0607"/>
    <w:rsid w:val="00DF77CA"/>
    <w:rsid w:val="00E21CA5"/>
    <w:rsid w:val="00E34052"/>
    <w:rsid w:val="00E55D5B"/>
    <w:rsid w:val="00E60FB3"/>
    <w:rsid w:val="00E66C7D"/>
    <w:rsid w:val="00E8048E"/>
    <w:rsid w:val="00E85DB9"/>
    <w:rsid w:val="00E87F4C"/>
    <w:rsid w:val="00E915FA"/>
    <w:rsid w:val="00E93E19"/>
    <w:rsid w:val="00E94E26"/>
    <w:rsid w:val="00EA35FA"/>
    <w:rsid w:val="00EB0C5E"/>
    <w:rsid w:val="00EB1E5B"/>
    <w:rsid w:val="00EF1E00"/>
    <w:rsid w:val="00F13CA1"/>
    <w:rsid w:val="00F20FF6"/>
    <w:rsid w:val="00F2201C"/>
    <w:rsid w:val="00F22366"/>
    <w:rsid w:val="00F2324C"/>
    <w:rsid w:val="00F3684C"/>
    <w:rsid w:val="00F40D7E"/>
    <w:rsid w:val="00F72603"/>
    <w:rsid w:val="00F849C2"/>
    <w:rsid w:val="00FA2D96"/>
    <w:rsid w:val="00FC1DCC"/>
    <w:rsid w:val="00FC262B"/>
    <w:rsid w:val="00FD0F7C"/>
    <w:rsid w:val="00FE07D7"/>
    <w:rsid w:val="00FE2D96"/>
    <w:rsid w:val="00FE71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83A3"/>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customStyle="1" w:styleId="Default">
    <w:name w:val="Default"/>
    <w:rsid w:val="004572B2"/>
    <w:pPr>
      <w:autoSpaceDE w:val="0"/>
      <w:autoSpaceDN w:val="0"/>
      <w:adjustRightInd w:val="0"/>
      <w:spacing w:after="0" w:line="240" w:lineRule="auto"/>
    </w:pPr>
    <w:rPr>
      <w:rFonts w:ascii="Calibri" w:hAnsi="Calibri" w:cs="Calibri"/>
      <w:color w:val="000000"/>
      <w:sz w:val="24"/>
      <w:szCs w:val="24"/>
      <w:lang w:val="nl-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923683360">
      <w:bodyDiv w:val="1"/>
      <w:marLeft w:val="0"/>
      <w:marRight w:val="0"/>
      <w:marTop w:val="0"/>
      <w:marBottom w:val="0"/>
      <w:divBdr>
        <w:top w:val="none" w:sz="0" w:space="0" w:color="auto"/>
        <w:left w:val="none" w:sz="0" w:space="0" w:color="auto"/>
        <w:bottom w:val="none" w:sz="0" w:space="0" w:color="auto"/>
        <w:right w:val="none" w:sz="0" w:space="0" w:color="auto"/>
      </w:divBdr>
    </w:div>
    <w:div w:id="1791244396">
      <w:bodyDiv w:val="1"/>
      <w:marLeft w:val="0"/>
      <w:marRight w:val="0"/>
      <w:marTop w:val="0"/>
      <w:marBottom w:val="0"/>
      <w:divBdr>
        <w:top w:val="none" w:sz="0" w:space="0" w:color="auto"/>
        <w:left w:val="none" w:sz="0" w:space="0" w:color="auto"/>
        <w:bottom w:val="none" w:sz="0" w:space="0" w:color="auto"/>
        <w:right w:val="none" w:sz="0" w:space="0" w:color="auto"/>
      </w:divBdr>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861813757">
      <w:bodyDiv w:val="1"/>
      <w:marLeft w:val="0"/>
      <w:marRight w:val="0"/>
      <w:marTop w:val="0"/>
      <w:marBottom w:val="0"/>
      <w:divBdr>
        <w:top w:val="none" w:sz="0" w:space="0" w:color="auto"/>
        <w:left w:val="none" w:sz="0" w:space="0" w:color="auto"/>
        <w:bottom w:val="none" w:sz="0" w:space="0" w:color="auto"/>
        <w:right w:val="none" w:sz="0" w:space="0" w:color="auto"/>
      </w:divBdr>
    </w:div>
    <w:div w:id="1918828679">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1875</Words>
  <Characters>10317</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Yves.Timmerman@forbo.com</dc:creator>
  <cp:lastModifiedBy>Timmerman Yves</cp:lastModifiedBy>
  <cp:revision>33</cp:revision>
  <cp:lastPrinted>2016-08-29T14:22:00Z</cp:lastPrinted>
  <dcterms:created xsi:type="dcterms:W3CDTF">2022-07-15T13:34:00Z</dcterms:created>
  <dcterms:modified xsi:type="dcterms:W3CDTF">2025-07-17T07:25:00Z</dcterms:modified>
</cp:coreProperties>
</file>