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A913" w14:textId="1AE53DA0" w:rsidR="007F6104" w:rsidRPr="00483A39" w:rsidRDefault="008E5F52" w:rsidP="00BF2D66">
      <w:pPr>
        <w:pStyle w:val="TxBrp1"/>
        <w:spacing w:line="276" w:lineRule="auto"/>
        <w:ind w:hanging="34"/>
        <w:rPr>
          <w:rFonts w:asciiTheme="minorHAnsi" w:hAnsiTheme="minorHAnsi" w:cstheme="minorHAnsi"/>
          <w:b/>
          <w:bCs/>
          <w:sz w:val="22"/>
          <w:szCs w:val="22"/>
          <w:u w:val="single"/>
          <w:lang w:val="fr-FR"/>
        </w:rPr>
      </w:pPr>
      <w:r w:rsidRPr="00BF2D66">
        <w:rPr>
          <w:rFonts w:asciiTheme="minorHAnsi" w:hAnsiTheme="minorHAnsi" w:cstheme="minorHAnsi"/>
          <w:sz w:val="22"/>
          <w:szCs w:val="22"/>
          <w:lang w:val="fr-FR"/>
        </w:rPr>
        <w:tab/>
      </w:r>
    </w:p>
    <w:p w14:paraId="04466D42" w14:textId="77777777" w:rsidR="00483A39" w:rsidRPr="00BF2D66" w:rsidRDefault="00483A39" w:rsidP="00BF2D66">
      <w:pPr>
        <w:pStyle w:val="TxBrp1"/>
        <w:spacing w:line="276" w:lineRule="auto"/>
        <w:ind w:hanging="34"/>
        <w:rPr>
          <w:rFonts w:asciiTheme="minorHAnsi" w:hAnsiTheme="minorHAnsi" w:cstheme="minorHAnsi"/>
          <w:sz w:val="22"/>
          <w:szCs w:val="22"/>
          <w:lang w:val="fr-FR"/>
        </w:rPr>
      </w:pPr>
    </w:p>
    <w:p w14:paraId="43FB83A4" w14:textId="1FD7145E" w:rsidR="008F0120" w:rsidRDefault="00DF77CA" w:rsidP="00BF2D66">
      <w:pPr>
        <w:pStyle w:val="Kop1"/>
        <w:spacing w:before="0" w:after="0" w:line="276" w:lineRule="auto"/>
        <w:jc w:val="center"/>
        <w:rPr>
          <w:rFonts w:asciiTheme="minorHAnsi" w:hAnsiTheme="minorHAnsi" w:cstheme="minorHAnsi"/>
          <w:b w:val="0"/>
          <w:bCs/>
          <w:kern w:val="0"/>
          <w:sz w:val="22"/>
          <w:szCs w:val="22"/>
          <w:u w:val="single"/>
          <w:lang w:val="fr-FR"/>
        </w:rPr>
      </w:pPr>
      <w:r w:rsidRPr="00BF2D66">
        <w:rPr>
          <w:rFonts w:asciiTheme="minorHAnsi" w:hAnsiTheme="minorHAnsi" w:cstheme="minorHAnsi"/>
          <w:b w:val="0"/>
          <w:bCs/>
          <w:kern w:val="0"/>
          <w:sz w:val="22"/>
          <w:szCs w:val="22"/>
          <w:u w:val="single"/>
          <w:lang w:val="fr-FR"/>
        </w:rPr>
        <w:t>Dalles</w:t>
      </w:r>
      <w:r w:rsidR="003A4BAB" w:rsidRPr="00BF2D66">
        <w:rPr>
          <w:rFonts w:asciiTheme="minorHAnsi" w:hAnsiTheme="minorHAnsi" w:cstheme="minorHAnsi"/>
          <w:b w:val="0"/>
          <w:bCs/>
          <w:kern w:val="0"/>
          <w:sz w:val="22"/>
          <w:szCs w:val="22"/>
          <w:u w:val="single"/>
          <w:lang w:val="fr-FR"/>
        </w:rPr>
        <w:t xml:space="preserve"> de </w:t>
      </w:r>
      <w:r w:rsidR="00FE71D3">
        <w:rPr>
          <w:rFonts w:asciiTheme="minorHAnsi" w:hAnsiTheme="minorHAnsi" w:cstheme="minorHAnsi"/>
          <w:b w:val="0"/>
          <w:bCs/>
          <w:kern w:val="0"/>
          <w:sz w:val="22"/>
          <w:szCs w:val="22"/>
          <w:u w:val="single"/>
          <w:lang w:val="fr-FR"/>
        </w:rPr>
        <w:t xml:space="preserve">moquette </w:t>
      </w:r>
      <w:r w:rsidR="003F09FB">
        <w:rPr>
          <w:rFonts w:asciiTheme="minorHAnsi" w:hAnsiTheme="minorHAnsi" w:cstheme="minorHAnsi"/>
          <w:b w:val="0"/>
          <w:bCs/>
          <w:kern w:val="0"/>
          <w:sz w:val="22"/>
          <w:szCs w:val="22"/>
          <w:u w:val="single"/>
          <w:lang w:val="fr-FR"/>
        </w:rPr>
        <w:t xml:space="preserve">à texture bouclé </w:t>
      </w:r>
      <w:r w:rsidR="00483A39">
        <w:rPr>
          <w:rFonts w:asciiTheme="minorHAnsi" w:hAnsiTheme="minorHAnsi" w:cstheme="minorHAnsi"/>
          <w:b w:val="0"/>
          <w:bCs/>
          <w:kern w:val="0"/>
          <w:sz w:val="22"/>
          <w:szCs w:val="22"/>
          <w:u w:val="single"/>
          <w:lang w:val="fr-FR"/>
        </w:rPr>
        <w:t>en polyamide</w:t>
      </w:r>
      <w:r w:rsidR="003F09FB">
        <w:rPr>
          <w:rFonts w:asciiTheme="minorHAnsi" w:hAnsiTheme="minorHAnsi" w:cstheme="minorHAnsi"/>
          <w:b w:val="0"/>
          <w:bCs/>
          <w:kern w:val="0"/>
          <w:sz w:val="22"/>
          <w:szCs w:val="22"/>
          <w:u w:val="single"/>
          <w:lang w:val="fr-FR"/>
        </w:rPr>
        <w:t xml:space="preserve"> 6 Econyl</w:t>
      </w:r>
    </w:p>
    <w:p w14:paraId="38D03DD8" w14:textId="77777777" w:rsidR="00A11374" w:rsidRPr="00A11374" w:rsidRDefault="00A11374" w:rsidP="00A11374">
      <w:pPr>
        <w:rPr>
          <w:lang w:val="fr-FR" w:eastAsia="en-US" w:bidi="ar-SA"/>
        </w:rPr>
      </w:pPr>
    </w:p>
    <w:p w14:paraId="43FB83A5" w14:textId="77777777" w:rsidR="00D1062E" w:rsidRPr="00BF2D66" w:rsidRDefault="00D1062E" w:rsidP="00BF2D66">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BF2D66">
      <w:pPr>
        <w:spacing w:line="276" w:lineRule="auto"/>
        <w:rPr>
          <w:rFonts w:asciiTheme="minorHAnsi" w:hAnsiTheme="minorHAnsi" w:cstheme="minorHAnsi"/>
          <w:sz w:val="22"/>
          <w:szCs w:val="22"/>
          <w:u w:val="single"/>
          <w:lang w:val="fr-FR"/>
        </w:rPr>
      </w:pPr>
    </w:p>
    <w:p w14:paraId="3C09CB27" w14:textId="1A9ADE75"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Dalle de moquette t</w:t>
      </w:r>
      <w:r>
        <w:rPr>
          <w:rFonts w:asciiTheme="minorHAnsi" w:hAnsiTheme="minorHAnsi" w:cstheme="minorHAnsi"/>
          <w:sz w:val="22"/>
          <w:szCs w:val="22"/>
          <w:lang w:val="fr-FR"/>
        </w:rPr>
        <w:t>ufté</w:t>
      </w:r>
      <w:r w:rsidRPr="003F09FB">
        <w:rPr>
          <w:rFonts w:asciiTheme="minorHAnsi" w:hAnsiTheme="minorHAnsi" w:cstheme="minorHAnsi"/>
          <w:sz w:val="22"/>
          <w:szCs w:val="22"/>
          <w:lang w:val="fr-FR"/>
        </w:rPr>
        <w:t>e au format 50 x 50 cm avec une structure bouclée fine.  Le matériau des poils est composé à 100% de fils Econyl régénérés e</w:t>
      </w:r>
      <w:r>
        <w:rPr>
          <w:rFonts w:asciiTheme="minorHAnsi" w:hAnsiTheme="minorHAnsi" w:cstheme="minorHAnsi"/>
          <w:sz w:val="22"/>
          <w:szCs w:val="22"/>
          <w:lang w:val="fr-FR"/>
        </w:rPr>
        <w:t>t teintés</w:t>
      </w:r>
      <w:r w:rsidRPr="003F09FB">
        <w:rPr>
          <w:rFonts w:asciiTheme="minorHAnsi" w:hAnsiTheme="minorHAnsi" w:cstheme="minorHAnsi"/>
          <w:sz w:val="22"/>
          <w:szCs w:val="22"/>
          <w:lang w:val="fr-FR"/>
        </w:rPr>
        <w:t xml:space="preserve"> dans la masse.  </w:t>
      </w:r>
    </w:p>
    <w:p w14:paraId="5EC36AA3"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9DED665"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La dalle de moquette répond à la classe de charge 33 pour les applications de projets lourds.</w:t>
      </w:r>
    </w:p>
    <w:p w14:paraId="44D398BD"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4975F68"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Le poids des poils est de 500 gr/m² et le poids total est de 3815 gr/m².  La dalle de moquette peut être installée de manière monolithique, avec un quart de tour ou en alternance.</w:t>
      </w:r>
    </w:p>
    <w:p w14:paraId="3E33DCF7"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66B0D4CF"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La dalle de moquette a une classe de feu Bfl-S1. La valeur d'absorption acoustique est de 0,15 aw, et la réduction du bruit d'impact est de 25dB.  </w:t>
      </w:r>
    </w:p>
    <w:p w14:paraId="28E0E450"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56A3A61B"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support Probac de la dalle de moquette est composé de charges minérales recyclées, d'une quantité limitée de bitume modifié et d'un non-tissé en polyester.  Le support contient au moins 76 % de matières premières recyclées.  </w:t>
      </w:r>
    </w:p>
    <w:p w14:paraId="5F2839DD"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2540CE3F"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Le poids total de la dalle de moquette est composé de 75 % de matières premières recyclées.</w:t>
      </w:r>
    </w:p>
    <w:p w14:paraId="4234FD23"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5DFEEAD" w14:textId="332599F9" w:rsid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Il existe un choix de 18 couleurs semi-solides.</w:t>
      </w:r>
    </w:p>
    <w:p w14:paraId="164BB7A7" w14:textId="77777777" w:rsidR="004572B2" w:rsidRDefault="004572B2" w:rsidP="003F09FB">
      <w:pPr>
        <w:pStyle w:val="TxBrp4"/>
        <w:spacing w:line="276" w:lineRule="auto"/>
        <w:jc w:val="both"/>
        <w:rPr>
          <w:rFonts w:asciiTheme="minorHAnsi" w:hAnsiTheme="minorHAnsi" w:cstheme="minorHAnsi"/>
          <w:sz w:val="22"/>
          <w:szCs w:val="22"/>
          <w:lang w:val="fr-FR"/>
        </w:rPr>
      </w:pPr>
    </w:p>
    <w:p w14:paraId="111EC038" w14:textId="77777777" w:rsidR="004572B2" w:rsidRPr="00E23C4E" w:rsidRDefault="004572B2" w:rsidP="004572B2">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63C0DC3D" w14:textId="77777777" w:rsidR="004572B2" w:rsidRPr="00E23C4E" w:rsidRDefault="004572B2" w:rsidP="004572B2">
      <w:pPr>
        <w:pStyle w:val="Default"/>
        <w:spacing w:line="276" w:lineRule="auto"/>
        <w:jc w:val="both"/>
        <w:rPr>
          <w:sz w:val="22"/>
          <w:szCs w:val="22"/>
          <w:lang w:val="fr-FR"/>
        </w:rPr>
      </w:pPr>
    </w:p>
    <w:p w14:paraId="78CDFD54" w14:textId="77777777" w:rsidR="004572B2" w:rsidRPr="0054352F" w:rsidRDefault="004572B2" w:rsidP="004572B2">
      <w:pPr>
        <w:pStyle w:val="Default"/>
        <w:spacing w:line="276" w:lineRule="auto"/>
        <w:jc w:val="both"/>
        <w:rPr>
          <w:sz w:val="22"/>
          <w:szCs w:val="22"/>
          <w:lang w:val="fr-BE"/>
        </w:rPr>
      </w:pPr>
      <w:r w:rsidRPr="0054352F">
        <w:rPr>
          <w:sz w:val="22"/>
          <w:szCs w:val="22"/>
          <w:lang w:val="fr-BE"/>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117C724F" w14:textId="77777777" w:rsidR="004572B2" w:rsidRPr="0054352F" w:rsidRDefault="004572B2" w:rsidP="004572B2">
      <w:pPr>
        <w:pStyle w:val="Default"/>
        <w:spacing w:line="276" w:lineRule="auto"/>
        <w:jc w:val="both"/>
        <w:rPr>
          <w:sz w:val="22"/>
          <w:szCs w:val="22"/>
          <w:lang w:val="fr-BE"/>
        </w:rPr>
      </w:pPr>
    </w:p>
    <w:p w14:paraId="6E39FEAA" w14:textId="77777777" w:rsidR="004572B2" w:rsidRPr="0054352F" w:rsidRDefault="004572B2" w:rsidP="004572B2">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41EBA1EA" w14:textId="77777777" w:rsidR="004572B2" w:rsidRPr="0054352F" w:rsidRDefault="004572B2" w:rsidP="004572B2">
      <w:pPr>
        <w:pStyle w:val="Default"/>
        <w:spacing w:line="276" w:lineRule="auto"/>
        <w:jc w:val="both"/>
        <w:rPr>
          <w:sz w:val="22"/>
          <w:szCs w:val="22"/>
          <w:lang w:val="fr-BE"/>
        </w:rPr>
      </w:pPr>
    </w:p>
    <w:p w14:paraId="07AF660D" w14:textId="77777777" w:rsidR="004572B2" w:rsidRPr="0054352F" w:rsidRDefault="004572B2" w:rsidP="004572B2">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43FB83B2" w14:textId="4262AF30"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5EE7A9F7" w14:textId="77777777" w:rsidR="00EB0C5E" w:rsidRPr="00BF2D66" w:rsidRDefault="00EB0C5E" w:rsidP="00BF2D66">
      <w:pPr>
        <w:pStyle w:val="TxBrp4"/>
        <w:spacing w:line="276" w:lineRule="auto"/>
        <w:rPr>
          <w:rFonts w:asciiTheme="minorHAnsi" w:hAnsiTheme="minorHAnsi" w:cstheme="minorHAnsi"/>
          <w:sz w:val="22"/>
          <w:szCs w:val="22"/>
          <w:u w:val="single"/>
          <w:lang w:val="fr-FR"/>
        </w:rPr>
      </w:pPr>
    </w:p>
    <w:p w14:paraId="43FB83B3"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227"/>
        <w:gridCol w:w="1304"/>
        <w:gridCol w:w="5500"/>
      </w:tblGrid>
      <w:tr w:rsidR="001D57B1" w:rsidRPr="00BF2D66" w14:paraId="43FB83B7" w14:textId="77777777" w:rsidTr="00E93E19">
        <w:trPr>
          <w:trHeight w:val="283"/>
        </w:trPr>
        <w:tc>
          <w:tcPr>
            <w:tcW w:w="3227"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304"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77777777" w:rsidR="001D57B1" w:rsidRPr="00BF2D66" w:rsidRDefault="008E5F5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bouclé</w:t>
            </w:r>
          </w:p>
        </w:tc>
      </w:tr>
      <w:tr w:rsidR="001D57B1" w:rsidRPr="00BF2D66" w14:paraId="43FB83BB" w14:textId="77777777" w:rsidTr="00E93E19">
        <w:trPr>
          <w:trHeight w:val="283"/>
        </w:trPr>
        <w:tc>
          <w:tcPr>
            <w:tcW w:w="3227"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304" w:type="dxa"/>
          </w:tcPr>
          <w:p w14:paraId="43FB83B9" w14:textId="4DB6CE29" w:rsidR="001D57B1" w:rsidRPr="00BF2D66" w:rsidRDefault="00F223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E93E19">
        <w:trPr>
          <w:trHeight w:val="283"/>
        </w:trPr>
        <w:tc>
          <w:tcPr>
            <w:tcW w:w="3227" w:type="dxa"/>
          </w:tcPr>
          <w:p w14:paraId="43FB83BC"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304" w:type="dxa"/>
          </w:tcPr>
          <w:p w14:paraId="43FB83BD" w14:textId="5056D328"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18994F00"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5,</w:t>
            </w:r>
            <w:r w:rsidR="003F09FB">
              <w:rPr>
                <w:rFonts w:asciiTheme="minorHAnsi" w:hAnsiTheme="minorHAnsi" w:cstheme="minorHAnsi"/>
                <w:color w:val="000000"/>
                <w:sz w:val="22"/>
                <w:szCs w:val="22"/>
                <w:lang w:val="fr-FR"/>
              </w:rPr>
              <w:t>5</w:t>
            </w:r>
            <w:r w:rsidRPr="00BF2D66">
              <w:rPr>
                <w:rFonts w:asciiTheme="minorHAnsi" w:hAnsiTheme="minorHAnsi" w:cstheme="minorHAnsi"/>
                <w:color w:val="000000"/>
                <w:sz w:val="22"/>
                <w:szCs w:val="22"/>
                <w:lang w:val="fr-FR"/>
              </w:rPr>
              <w:t xml:space="preserve"> mm</w:t>
            </w:r>
          </w:p>
        </w:tc>
      </w:tr>
      <w:tr w:rsidR="001D57B1" w:rsidRPr="00BF2D66" w14:paraId="43FB83C3" w14:textId="77777777" w:rsidTr="00E93E19">
        <w:trPr>
          <w:trHeight w:val="283"/>
        </w:trPr>
        <w:tc>
          <w:tcPr>
            <w:tcW w:w="3227" w:type="dxa"/>
          </w:tcPr>
          <w:p w14:paraId="43FB83C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304" w:type="dxa"/>
          </w:tcPr>
          <w:p w14:paraId="43FB83C1" w14:textId="6654BA70"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500" w:type="dxa"/>
          </w:tcPr>
          <w:p w14:paraId="43FB83C2" w14:textId="41B56B5B"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2,</w:t>
            </w:r>
            <w:r w:rsidR="003F09FB">
              <w:rPr>
                <w:rFonts w:asciiTheme="minorHAnsi" w:hAnsiTheme="minorHAnsi" w:cstheme="minorHAnsi"/>
                <w:sz w:val="22"/>
                <w:szCs w:val="22"/>
                <w:lang w:val="fr-FR"/>
              </w:rPr>
              <w:t>7</w:t>
            </w:r>
            <w:r w:rsidRPr="00BF2D66">
              <w:rPr>
                <w:rFonts w:asciiTheme="minorHAnsi" w:hAnsiTheme="minorHAnsi" w:cstheme="minorHAnsi"/>
                <w:sz w:val="22"/>
                <w:szCs w:val="22"/>
                <w:lang w:val="fr-FR"/>
              </w:rPr>
              <w:t xml:space="preserve"> mm</w:t>
            </w:r>
          </w:p>
        </w:tc>
      </w:tr>
      <w:tr w:rsidR="001D57B1" w:rsidRPr="00BF2D66" w14:paraId="43FB83C7" w14:textId="77777777" w:rsidTr="00E93E19">
        <w:trPr>
          <w:trHeight w:val="283"/>
        </w:trPr>
        <w:tc>
          <w:tcPr>
            <w:tcW w:w="3227"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304"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60725A7E" w:rsidR="001D57B1" w:rsidRPr="00BF2D66" w:rsidRDefault="003F09FB"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18</w:t>
            </w:r>
            <w:r w:rsidR="00AB6AD2" w:rsidRPr="00BF2D66">
              <w:rPr>
                <w:rFonts w:asciiTheme="minorHAnsi" w:hAnsiTheme="minorHAnsi" w:cstheme="minorHAnsi"/>
                <w:sz w:val="22"/>
                <w:szCs w:val="22"/>
                <w:lang w:val="fr-FR"/>
              </w:rPr>
              <w:t xml:space="preserve"> coloris </w:t>
            </w:r>
            <w:r w:rsidR="00BF2D66">
              <w:rPr>
                <w:rFonts w:asciiTheme="minorHAnsi" w:hAnsiTheme="minorHAnsi" w:cstheme="minorHAnsi"/>
                <w:sz w:val="22"/>
                <w:szCs w:val="22"/>
                <w:lang w:val="fr-FR"/>
              </w:rPr>
              <w:t>(</w:t>
            </w:r>
            <w:r>
              <w:rPr>
                <w:rFonts w:asciiTheme="minorHAnsi" w:hAnsiTheme="minorHAnsi" w:cstheme="minorHAnsi"/>
                <w:sz w:val="22"/>
                <w:szCs w:val="22"/>
                <w:lang w:val="fr-FR"/>
              </w:rPr>
              <w:t xml:space="preserve">20 pcs - </w:t>
            </w:r>
            <w:r w:rsidR="00AB6AD2" w:rsidRPr="00BF2D66">
              <w:rPr>
                <w:rFonts w:asciiTheme="minorHAnsi" w:hAnsiTheme="minorHAnsi" w:cstheme="minorHAnsi"/>
                <w:sz w:val="22"/>
                <w:szCs w:val="22"/>
                <w:lang w:val="fr-FR"/>
              </w:rPr>
              <w:t>5</w:t>
            </w:r>
            <w:r w:rsidR="00BF2D66">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E93E19">
        <w:trPr>
          <w:trHeight w:val="283"/>
        </w:trPr>
        <w:tc>
          <w:tcPr>
            <w:tcW w:w="3227"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304" w:type="dxa"/>
          </w:tcPr>
          <w:p w14:paraId="43FB83C9" w14:textId="0D208FB3"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 xml:space="preserve">EN </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E93E19">
        <w:trPr>
          <w:trHeight w:val="283"/>
        </w:trPr>
        <w:tc>
          <w:tcPr>
            <w:tcW w:w="3227" w:type="dxa"/>
          </w:tcPr>
          <w:p w14:paraId="66D8E172" w14:textId="203314BB" w:rsidR="000A59DE" w:rsidRDefault="000A59DE"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304" w:type="dxa"/>
          </w:tcPr>
          <w:p w14:paraId="294DCDD3" w14:textId="68F22352"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500" w:type="dxa"/>
          </w:tcPr>
          <w:p w14:paraId="28DDD159" w14:textId="23C8789C"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LC1</w:t>
            </w:r>
          </w:p>
        </w:tc>
      </w:tr>
      <w:tr w:rsidR="001D57B1" w:rsidRPr="00BF2D66" w14:paraId="43FB83CF" w14:textId="77777777" w:rsidTr="00E93E19">
        <w:trPr>
          <w:trHeight w:val="283"/>
        </w:trPr>
        <w:tc>
          <w:tcPr>
            <w:tcW w:w="3227"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304"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16641A6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3F09FB">
              <w:rPr>
                <w:rFonts w:asciiTheme="minorHAnsi" w:hAnsiTheme="minorHAnsi" w:cstheme="minorHAnsi"/>
                <w:color w:val="000000"/>
                <w:sz w:val="22"/>
                <w:szCs w:val="22"/>
                <w:lang w:val="fr-FR"/>
              </w:rPr>
              <w:t xml:space="preserve">Econyl </w:t>
            </w:r>
            <w:r w:rsidRPr="00BF2D66">
              <w:rPr>
                <w:rFonts w:asciiTheme="minorHAnsi" w:hAnsiTheme="minorHAnsi" w:cstheme="minorHAnsi"/>
                <w:color w:val="000000"/>
                <w:sz w:val="22"/>
                <w:szCs w:val="22"/>
                <w:lang w:val="fr-FR"/>
              </w:rPr>
              <w:t>polyamide 6</w:t>
            </w:r>
          </w:p>
        </w:tc>
      </w:tr>
      <w:tr w:rsidR="001D57B1" w:rsidRPr="00BF2D66" w14:paraId="43FB83D3" w14:textId="77777777" w:rsidTr="00E93E19">
        <w:trPr>
          <w:trHeight w:val="283"/>
        </w:trPr>
        <w:tc>
          <w:tcPr>
            <w:tcW w:w="3227"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304"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1421E53"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3F09FB">
              <w:rPr>
                <w:rFonts w:asciiTheme="minorHAnsi" w:hAnsiTheme="minorHAnsi" w:cstheme="minorHAnsi"/>
                <w:color w:val="000000"/>
                <w:sz w:val="22"/>
                <w:szCs w:val="22"/>
                <w:lang w:val="fr-FR"/>
              </w:rPr>
              <w:t>teinté dans la masse)</w:t>
            </w:r>
          </w:p>
        </w:tc>
      </w:tr>
      <w:tr w:rsidR="001D57B1" w:rsidRPr="00BF2D66" w14:paraId="43FB83D7" w14:textId="77777777" w:rsidTr="00E93E19">
        <w:trPr>
          <w:trHeight w:val="283"/>
        </w:trPr>
        <w:tc>
          <w:tcPr>
            <w:tcW w:w="3227"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304" w:type="dxa"/>
          </w:tcPr>
          <w:p w14:paraId="43FB83D5" w14:textId="7F16B3E0" w:rsidR="001D57B1" w:rsidRPr="00BF2D66" w:rsidRDefault="00FE07D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0A616BAA" w:rsidR="001D57B1" w:rsidRPr="00BF2D66" w:rsidRDefault="003F09FB"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212.760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E93E19">
        <w:trPr>
          <w:trHeight w:val="283"/>
        </w:trPr>
        <w:tc>
          <w:tcPr>
            <w:tcW w:w="3227"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304" w:type="dxa"/>
          </w:tcPr>
          <w:p w14:paraId="43FB83D9" w14:textId="7D37C358" w:rsidR="001D57B1" w:rsidRPr="00BF2D66" w:rsidRDefault="004F353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73FCE171"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w:t>
            </w:r>
            <w:r w:rsidR="003F09FB">
              <w:rPr>
                <w:rFonts w:asciiTheme="minorHAnsi" w:hAnsiTheme="minorHAnsi" w:cstheme="minorHAnsi"/>
                <w:color w:val="000000"/>
                <w:sz w:val="22"/>
                <w:szCs w:val="22"/>
                <w:lang w:val="fr-FR"/>
              </w:rPr>
              <w:t>00</w:t>
            </w:r>
            <w:r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542620" w:rsidRPr="00BF2D66" w14:paraId="56072E24" w14:textId="77777777" w:rsidTr="00E93E19">
        <w:trPr>
          <w:trHeight w:val="283"/>
        </w:trPr>
        <w:tc>
          <w:tcPr>
            <w:tcW w:w="3227" w:type="dxa"/>
          </w:tcPr>
          <w:p w14:paraId="4AD0E57D" w14:textId="03AC0CDE"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304" w:type="dxa"/>
          </w:tcPr>
          <w:p w14:paraId="4B00C6EC" w14:textId="49A7B462" w:rsidR="00542620" w:rsidRPr="00BF2D66" w:rsidRDefault="0057780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212D6FCE"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3</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8</w:t>
            </w:r>
            <w:r w:rsidR="003F09FB">
              <w:rPr>
                <w:rFonts w:asciiTheme="minorHAnsi" w:hAnsiTheme="minorHAnsi" w:cstheme="minorHAnsi"/>
                <w:color w:val="000000"/>
                <w:sz w:val="22"/>
                <w:szCs w:val="22"/>
                <w:lang w:val="fr-FR"/>
              </w:rPr>
              <w:t>15</w:t>
            </w:r>
            <w:r w:rsidRPr="00BF2D66">
              <w:rPr>
                <w:rFonts w:asciiTheme="minorHAnsi" w:hAnsiTheme="minorHAnsi" w:cstheme="minorHAnsi"/>
                <w:color w:val="000000"/>
                <w:sz w:val="22"/>
                <w:szCs w:val="22"/>
                <w:lang w:val="fr-FR"/>
              </w:rPr>
              <w:t xml:space="preserve"> g</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m</w:t>
            </w:r>
            <w:r>
              <w:rPr>
                <w:rFonts w:asciiTheme="minorHAnsi" w:hAnsiTheme="minorHAnsi" w:cstheme="minorHAnsi"/>
                <w:color w:val="000000"/>
                <w:sz w:val="22"/>
                <w:szCs w:val="22"/>
                <w:lang w:val="fr-FR"/>
              </w:rPr>
              <w:t>²</w:t>
            </w:r>
          </w:p>
        </w:tc>
      </w:tr>
      <w:tr w:rsidR="00542620" w:rsidRPr="00BF2D66" w14:paraId="43FB83DF" w14:textId="77777777" w:rsidTr="00E93E19">
        <w:trPr>
          <w:trHeight w:val="283"/>
        </w:trPr>
        <w:tc>
          <w:tcPr>
            <w:tcW w:w="3227" w:type="dxa"/>
          </w:tcPr>
          <w:p w14:paraId="43FB83DC" w14:textId="0DF1DD52"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304" w:type="dxa"/>
          </w:tcPr>
          <w:p w14:paraId="43FB83DD" w14:textId="12C444D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E93E19">
        <w:trPr>
          <w:trHeight w:val="283"/>
        </w:trPr>
        <w:tc>
          <w:tcPr>
            <w:tcW w:w="3227" w:type="dxa"/>
          </w:tcPr>
          <w:p w14:paraId="43FB83E0" w14:textId="37670C34"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304" w:type="dxa"/>
          </w:tcPr>
          <w:p w14:paraId="43FB83E1" w14:textId="074BFABD"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7C07DBC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542620" w:rsidRPr="00BF2D66" w14:paraId="43FB83E7" w14:textId="77777777" w:rsidTr="00E93E19">
        <w:trPr>
          <w:trHeight w:val="283"/>
        </w:trPr>
        <w:tc>
          <w:tcPr>
            <w:tcW w:w="3227" w:type="dxa"/>
          </w:tcPr>
          <w:p w14:paraId="43FB83E4" w14:textId="1448D6D9"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304" w:type="dxa"/>
          </w:tcPr>
          <w:p w14:paraId="43FB83E5" w14:textId="6155AC7C" w:rsidR="00542620" w:rsidRPr="00BF2D66" w:rsidRDefault="00DC3F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E93E19">
        <w:trPr>
          <w:trHeight w:val="283"/>
        </w:trPr>
        <w:tc>
          <w:tcPr>
            <w:tcW w:w="3227" w:type="dxa"/>
          </w:tcPr>
          <w:p w14:paraId="73ADC9F2" w14:textId="0E8E0B67" w:rsidR="004E5EAF" w:rsidRPr="00BF2D66" w:rsidRDefault="004E5EA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304" w:type="dxa"/>
          </w:tcPr>
          <w:p w14:paraId="6D293183" w14:textId="05D9C3F9" w:rsidR="004E5EAF" w:rsidRDefault="008971FD"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59C695EB" w:rsidR="004E5EAF" w:rsidRDefault="00D93554"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p>
        </w:tc>
      </w:tr>
      <w:tr w:rsidR="00542620" w:rsidRPr="00BF2D66" w14:paraId="43FB83EB" w14:textId="77777777" w:rsidTr="00E93E19">
        <w:trPr>
          <w:trHeight w:val="283"/>
        </w:trPr>
        <w:tc>
          <w:tcPr>
            <w:tcW w:w="3227" w:type="dxa"/>
          </w:tcPr>
          <w:p w14:paraId="43FB83E8" w14:textId="6142D1F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304" w:type="dxa"/>
          </w:tcPr>
          <w:p w14:paraId="43FB83E9" w14:textId="704775B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A" w14:textId="49891FB6"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5</w:t>
            </w:r>
          </w:p>
        </w:tc>
      </w:tr>
      <w:tr w:rsidR="00542620" w:rsidRPr="00BF2D66" w14:paraId="43FB83EF" w14:textId="77777777" w:rsidTr="00E93E19">
        <w:trPr>
          <w:trHeight w:val="283"/>
        </w:trPr>
        <w:tc>
          <w:tcPr>
            <w:tcW w:w="3227" w:type="dxa"/>
          </w:tcPr>
          <w:p w14:paraId="43FB83EC" w14:textId="0A076A5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304" w:type="dxa"/>
          </w:tcPr>
          <w:p w14:paraId="43FB83ED" w14:textId="17EFA3D3"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542620" w:rsidRPr="00BF2D66" w14:paraId="43FB83F3" w14:textId="77777777" w:rsidTr="00E93E19">
        <w:trPr>
          <w:trHeight w:val="283"/>
        </w:trPr>
        <w:tc>
          <w:tcPr>
            <w:tcW w:w="3227" w:type="dxa"/>
          </w:tcPr>
          <w:p w14:paraId="43FB83F0" w14:textId="2D58D9D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304" w:type="dxa"/>
          </w:tcPr>
          <w:p w14:paraId="43FB83F1" w14:textId="05493F31"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6A45858A"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2</w:t>
            </w:r>
            <w:r w:rsidR="00A35347">
              <w:rPr>
                <w:rFonts w:asciiTheme="minorHAnsi" w:hAnsiTheme="minorHAnsi" w:cstheme="minorHAnsi"/>
                <w:color w:val="000000"/>
                <w:sz w:val="22"/>
                <w:szCs w:val="22"/>
                <w:lang w:val="fr-FR"/>
              </w:rPr>
              <w:t>5</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dB</w:t>
            </w:r>
          </w:p>
        </w:tc>
      </w:tr>
      <w:tr w:rsidR="00542620" w:rsidRPr="00BF2D66" w14:paraId="43FB83F7" w14:textId="77777777" w:rsidTr="00E93E19">
        <w:trPr>
          <w:trHeight w:val="283"/>
        </w:trPr>
        <w:tc>
          <w:tcPr>
            <w:tcW w:w="3227" w:type="dxa"/>
          </w:tcPr>
          <w:p w14:paraId="43FB83F4" w14:textId="7313D4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304" w:type="dxa"/>
          </w:tcPr>
          <w:p w14:paraId="43FB83F5" w14:textId="51597D6E"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Pr>
                <w:rFonts w:asciiTheme="minorHAnsi" w:hAnsiTheme="minorHAnsi" w:cstheme="minorHAnsi"/>
                <w:sz w:val="22"/>
                <w:szCs w:val="22"/>
                <w:lang w:val="fr-FR"/>
              </w:rPr>
              <w:t xml:space="preserve"> ISO 354</w:t>
            </w:r>
          </w:p>
        </w:tc>
        <w:tc>
          <w:tcPr>
            <w:tcW w:w="5500" w:type="dxa"/>
          </w:tcPr>
          <w:p w14:paraId="43FB83F6" w14:textId="4D3410B5" w:rsidR="00542620" w:rsidRPr="004572B2"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4572B2">
              <w:rPr>
                <w:sz w:val="22"/>
                <w:szCs w:val="22"/>
              </w:rPr>
              <w:t>αw</w:t>
            </w:r>
            <w:r w:rsidRPr="004572B2">
              <w:rPr>
                <w:rFonts w:ascii="Calibri" w:hAnsi="Calibri" w:cs="Arial"/>
                <w:sz w:val="22"/>
                <w:szCs w:val="22"/>
                <w:lang w:val="nl-BE"/>
              </w:rPr>
              <w:t xml:space="preserve"> = 0,15</w:t>
            </w:r>
            <w:r w:rsidR="00A35347" w:rsidRPr="004572B2">
              <w:rPr>
                <w:rFonts w:ascii="Calibri" w:hAnsi="Calibri" w:cs="Arial"/>
                <w:sz w:val="22"/>
                <w:szCs w:val="22"/>
                <w:lang w:val="nl-BE"/>
              </w:rPr>
              <w:t xml:space="preserve"> (H)</w:t>
            </w:r>
          </w:p>
        </w:tc>
      </w:tr>
      <w:tr w:rsidR="00BE304C" w:rsidRPr="00BF2D66" w14:paraId="1A860086" w14:textId="77777777" w:rsidTr="00E93E19">
        <w:trPr>
          <w:trHeight w:val="283"/>
        </w:trPr>
        <w:tc>
          <w:tcPr>
            <w:tcW w:w="3227" w:type="dxa"/>
          </w:tcPr>
          <w:p w14:paraId="77C6EE9A" w14:textId="2621ABCE" w:rsidR="00BE304C" w:rsidRDefault="003F09FB"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Emission</w:t>
            </w:r>
            <w:r w:rsidR="00E93E19">
              <w:rPr>
                <w:rFonts w:asciiTheme="minorHAnsi" w:hAnsiTheme="minorHAnsi" w:cstheme="minorHAnsi"/>
                <w:sz w:val="22"/>
                <w:szCs w:val="22"/>
                <w:lang w:val="fr-FR"/>
              </w:rPr>
              <w:t>s</w:t>
            </w:r>
          </w:p>
        </w:tc>
        <w:tc>
          <w:tcPr>
            <w:tcW w:w="1304" w:type="dxa"/>
          </w:tcPr>
          <w:p w14:paraId="25BC910B" w14:textId="2F6BFC01" w:rsidR="00BE304C" w:rsidRPr="00BF2D66" w:rsidRDefault="00BE304C"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0DDB417C" w:rsidR="00BE304C" w:rsidRPr="0027663C" w:rsidRDefault="003F09FB"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Conforme au norme 01350 qualité de l’air intérieur</w:t>
            </w:r>
          </w:p>
        </w:tc>
      </w:tr>
      <w:tr w:rsidR="00542620" w:rsidRPr="00BF2D66" w14:paraId="726F7855" w14:textId="77777777" w:rsidTr="00E93E19">
        <w:trPr>
          <w:trHeight w:val="283"/>
        </w:trPr>
        <w:tc>
          <w:tcPr>
            <w:tcW w:w="3227" w:type="dxa"/>
          </w:tcPr>
          <w:p w14:paraId="6F30E296" w14:textId="699AB029" w:rsidR="00542620" w:rsidRPr="00BF2D66" w:rsidRDefault="0021535B"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304" w:type="dxa"/>
          </w:tcPr>
          <w:p w14:paraId="41717AC5" w14:textId="4F62F43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6B49FF7D"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E93E19">
        <w:trPr>
          <w:trHeight w:val="283"/>
        </w:trPr>
        <w:tc>
          <w:tcPr>
            <w:tcW w:w="3227" w:type="dxa"/>
          </w:tcPr>
          <w:p w14:paraId="43FB83F8" w14:textId="4B19FB29" w:rsidR="00542620" w:rsidRPr="00BF2D66" w:rsidRDefault="00542620" w:rsidP="00BF2D66">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304" w:type="dxa"/>
          </w:tcPr>
          <w:p w14:paraId="43FB83F9"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49A5671F" w:rsidR="00542620" w:rsidRPr="0027663C"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62</w:t>
            </w:r>
            <w:r w:rsidRPr="0027663C">
              <w:rPr>
                <w:rFonts w:asciiTheme="minorHAnsi" w:eastAsia="MyriadPro-Regular" w:hAnsiTheme="minorHAnsi" w:cstheme="minorHAnsi"/>
                <w:sz w:val="22"/>
                <w:szCs w:val="22"/>
                <w:lang w:val="fr-FR" w:bidi="ar-SA"/>
              </w:rPr>
              <w:t xml:space="preserve"> % de contenu recycle par poids.</w:t>
            </w:r>
          </w:p>
        </w:tc>
      </w:tr>
      <w:tr w:rsidR="00542620" w:rsidRPr="007856DA" w14:paraId="43FB8403" w14:textId="77777777" w:rsidTr="00E93E19">
        <w:trPr>
          <w:trHeight w:val="283"/>
        </w:trPr>
        <w:tc>
          <w:tcPr>
            <w:tcW w:w="3227" w:type="dxa"/>
          </w:tcPr>
          <w:p w14:paraId="43FB8400" w14:textId="7EFA8C25" w:rsidR="00542620" w:rsidRPr="00BF2D66" w:rsidRDefault="00887058"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Reprise des chutes de pose</w:t>
            </w:r>
          </w:p>
        </w:tc>
        <w:tc>
          <w:tcPr>
            <w:tcW w:w="1304" w:type="dxa"/>
          </w:tcPr>
          <w:p w14:paraId="43FB8401"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27C10E72" w:rsidR="00542620" w:rsidRPr="00887058" w:rsidRDefault="00887058" w:rsidP="00BF2D66">
            <w:pPr>
              <w:pStyle w:val="TxBrp4"/>
              <w:spacing w:line="276" w:lineRule="auto"/>
              <w:rPr>
                <w:rFonts w:asciiTheme="minorHAnsi" w:hAnsiTheme="minorHAnsi" w:cstheme="minorHAnsi"/>
                <w:color w:val="000000"/>
                <w:sz w:val="22"/>
                <w:szCs w:val="22"/>
                <w:lang w:val="en-US"/>
              </w:rPr>
            </w:pPr>
            <w:r w:rsidRPr="00887058">
              <w:rPr>
                <w:rFonts w:asciiTheme="minorHAnsi" w:hAnsiTheme="minorHAnsi" w:cstheme="minorHAnsi"/>
                <w:color w:val="000000"/>
                <w:sz w:val="22"/>
                <w:szCs w:val="22"/>
                <w:lang w:val="en-US"/>
              </w:rPr>
              <w:t>Via le programme Back to</w:t>
            </w:r>
            <w:r>
              <w:rPr>
                <w:rFonts w:asciiTheme="minorHAnsi" w:hAnsiTheme="minorHAnsi" w:cstheme="minorHAnsi"/>
                <w:color w:val="000000"/>
                <w:sz w:val="22"/>
                <w:szCs w:val="22"/>
                <w:lang w:val="en-US"/>
              </w:rPr>
              <w:t xml:space="preserve"> the Floor</w:t>
            </w:r>
          </w:p>
        </w:tc>
      </w:tr>
      <w:tr w:rsidR="00542620" w:rsidRPr="00BF2D66" w14:paraId="03A70E94" w14:textId="77777777" w:rsidTr="00E93E19">
        <w:trPr>
          <w:trHeight w:val="283"/>
        </w:trPr>
        <w:tc>
          <w:tcPr>
            <w:tcW w:w="3227" w:type="dxa"/>
          </w:tcPr>
          <w:p w14:paraId="2326FB55" w14:textId="355E11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304" w:type="dxa"/>
          </w:tcPr>
          <w:p w14:paraId="2984C173"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E93E19">
        <w:trPr>
          <w:trHeight w:val="283"/>
        </w:trPr>
        <w:tc>
          <w:tcPr>
            <w:tcW w:w="3227" w:type="dxa"/>
          </w:tcPr>
          <w:p w14:paraId="6A6C2E30" w14:textId="03E12ACA" w:rsidR="00542620"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304" w:type="dxa"/>
          </w:tcPr>
          <w:p w14:paraId="5334DF8C"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14387525" w:rsidR="00542620" w:rsidRPr="00530EEE" w:rsidRDefault="00B63EE1" w:rsidP="00BF2D66">
            <w:pPr>
              <w:pStyle w:val="TxBrp4"/>
              <w:spacing w:line="276" w:lineRule="auto"/>
              <w:rPr>
                <w:rFonts w:asciiTheme="minorHAnsi" w:hAnsiTheme="minorHAnsi" w:cstheme="minorHAnsi"/>
                <w:color w:val="000000"/>
                <w:sz w:val="22"/>
                <w:szCs w:val="22"/>
              </w:rPr>
            </w:pPr>
            <w:r w:rsidRPr="00530EEE">
              <w:rPr>
                <w:rFonts w:asciiTheme="minorHAnsi" w:hAnsiTheme="minorHAnsi" w:cs="Arial"/>
                <w:sz w:val="22"/>
                <w:szCs w:val="22"/>
              </w:rPr>
              <w:t xml:space="preserve">Monolithique, tourné d’un quart, ou </w:t>
            </w:r>
            <w:r w:rsidR="007F6104" w:rsidRPr="00530EEE">
              <w:rPr>
                <w:rFonts w:asciiTheme="minorHAnsi" w:hAnsiTheme="minorHAnsi" w:cs="Arial"/>
                <w:sz w:val="22"/>
                <w:szCs w:val="22"/>
              </w:rPr>
              <w:t>inversé</w:t>
            </w:r>
          </w:p>
        </w:tc>
      </w:tr>
      <w:tr w:rsidR="00CA3748" w:rsidRPr="00BF2D66" w14:paraId="4018AB90" w14:textId="77777777" w:rsidTr="00E93E19">
        <w:trPr>
          <w:trHeight w:val="283"/>
        </w:trPr>
        <w:tc>
          <w:tcPr>
            <w:tcW w:w="3227"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304"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383AEB60" w:rsidR="00CA3748" w:rsidRPr="00BF2D66" w:rsidRDefault="00CA3748" w:rsidP="003D39B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E93E19">
        <w:trPr>
          <w:trHeight w:val="283"/>
        </w:trPr>
        <w:tc>
          <w:tcPr>
            <w:tcW w:w="3227"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304"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86BFC06"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E93E19">
        <w:trPr>
          <w:trHeight w:val="283"/>
        </w:trPr>
        <w:tc>
          <w:tcPr>
            <w:tcW w:w="3227" w:type="dxa"/>
          </w:tcPr>
          <w:p w14:paraId="20D3F6C1" w14:textId="77777777"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304" w:type="dxa"/>
          </w:tcPr>
          <w:p w14:paraId="7EAE038B" w14:textId="713C6FF9" w:rsidR="00CA3748" w:rsidRPr="00BF2D66" w:rsidRDefault="003114FF"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500" w:type="dxa"/>
          </w:tcPr>
          <w:p w14:paraId="74CAE13E" w14:textId="2A39A75B" w:rsidR="00CA3748" w:rsidRPr="00BF2D66" w:rsidRDefault="007D1DE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7B3909">
        <w:trPr>
          <w:trHeight w:val="371"/>
        </w:trPr>
        <w:tc>
          <w:tcPr>
            <w:tcW w:w="3227"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304" w:type="dxa"/>
          </w:tcPr>
          <w:p w14:paraId="4E1B6892" w14:textId="7929ADFA" w:rsidR="00083B61" w:rsidRPr="00BF2D66" w:rsidRDefault="006157BD"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500" w:type="dxa"/>
          </w:tcPr>
          <w:p w14:paraId="0C877F83" w14:textId="47500EE1"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E93E19">
        <w:trPr>
          <w:trHeight w:val="283"/>
        </w:trPr>
        <w:tc>
          <w:tcPr>
            <w:tcW w:w="3227" w:type="dxa"/>
          </w:tcPr>
          <w:p w14:paraId="56E19884" w14:textId="63772F0A" w:rsidR="00083B61" w:rsidRPr="00BF2D66" w:rsidRDefault="00B123C6"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304" w:type="dxa"/>
          </w:tcPr>
          <w:p w14:paraId="27A4D945" w14:textId="4E29E4F8" w:rsidR="00083B61" w:rsidRPr="00BF2D66" w:rsidRDefault="00083B61" w:rsidP="003D39B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7A2FF352" w14:textId="1FEEEB4C" w:rsidR="00083B61" w:rsidRPr="00BF2D66" w:rsidRDefault="00952CF3"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50477B5E" w:rsidR="00CA3748" w:rsidRDefault="00CA3748" w:rsidP="00BF2D66">
      <w:pPr>
        <w:widowControl/>
        <w:autoSpaceDE/>
        <w:autoSpaceDN/>
        <w:adjustRightInd/>
        <w:spacing w:line="276" w:lineRule="auto"/>
        <w:rPr>
          <w:rFonts w:asciiTheme="minorHAnsi" w:hAnsiTheme="minorHAnsi" w:cstheme="minorHAnsi"/>
          <w:sz w:val="22"/>
          <w:szCs w:val="22"/>
          <w:u w:val="single"/>
          <w:lang w:val="fr-FR"/>
        </w:rPr>
      </w:pPr>
    </w:p>
    <w:p w14:paraId="43FB8416" w14:textId="77777777" w:rsidR="00D1062E" w:rsidRDefault="00D1062E" w:rsidP="00166B3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166B3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77777777" w:rsidR="00CE660B" w:rsidRPr="00BF2D66" w:rsidRDefault="00DF77CA" w:rsidP="00166B3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F13CA1" w:rsidRPr="00BF2D66">
        <w:rPr>
          <w:rFonts w:asciiTheme="minorHAnsi" w:hAnsiTheme="minorHAnsi" w:cstheme="minorHAnsi"/>
          <w:color w:val="000000"/>
          <w:sz w:val="22"/>
          <w:szCs w:val="22"/>
          <w:lang w:val="fr-FR"/>
        </w:rPr>
        <w:t> </w:t>
      </w:r>
      <w:r w:rsidR="00CE660B" w:rsidRPr="00BF2D66">
        <w:rPr>
          <w:rFonts w:asciiTheme="minorHAnsi" w:hAnsiTheme="minorHAnsi" w:cstheme="minorHAnsi"/>
          <w:color w:val="000000"/>
          <w:sz w:val="22"/>
          <w:szCs w:val="22"/>
          <w:lang w:val="fr-FR"/>
        </w:rPr>
        <w:t>241</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 des re</w:t>
      </w:r>
      <w:r w:rsidR="007E67BB" w:rsidRPr="00BF2D66">
        <w:rPr>
          <w:rFonts w:asciiTheme="minorHAnsi" w:hAnsiTheme="minorHAnsi" w:cstheme="minorHAnsi"/>
          <w:color w:val="000000"/>
          <w:sz w:val="22"/>
          <w:szCs w:val="22"/>
          <w:lang w:val="fr-FR"/>
        </w:rPr>
        <w:t>vêtements de sol souples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166B3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166B3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166B3F">
      <w:pPr>
        <w:pStyle w:val="TxBrp4"/>
        <w:spacing w:line="276" w:lineRule="auto"/>
        <w:jc w:val="both"/>
        <w:rPr>
          <w:rFonts w:asciiTheme="minorHAnsi" w:hAnsiTheme="minorHAnsi" w:cstheme="minorHAnsi"/>
          <w:sz w:val="22"/>
          <w:szCs w:val="22"/>
          <w:lang w:val="fr-FR"/>
        </w:rPr>
      </w:pPr>
    </w:p>
    <w:p w14:paraId="13250568" w14:textId="77777777" w:rsidR="00FC1DCC" w:rsidRDefault="003822BC"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Au minimum 24 heures avant la pose</w:t>
      </w:r>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166B3F">
      <w:pPr>
        <w:pStyle w:val="TxBrp4"/>
        <w:spacing w:line="276" w:lineRule="auto"/>
        <w:jc w:val="both"/>
        <w:rPr>
          <w:rFonts w:asciiTheme="minorHAnsi" w:hAnsiTheme="minorHAnsi" w:cstheme="minorHAnsi"/>
          <w:sz w:val="22"/>
          <w:szCs w:val="22"/>
          <w:lang w:val="fr-FR"/>
        </w:rPr>
      </w:pPr>
    </w:p>
    <w:p w14:paraId="53AFBD5D" w14:textId="06FBC926" w:rsidR="009C7636" w:rsidRDefault="007E67B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493D2E">
        <w:rPr>
          <w:rFonts w:asciiTheme="minorHAnsi" w:hAnsiTheme="minorHAnsi" w:cstheme="minorHAnsi"/>
          <w:sz w:val="22"/>
          <w:szCs w:val="22"/>
          <w:lang w:val="fr-FR"/>
        </w:rPr>
        <w:t xml:space="preserve">de </w:t>
      </w:r>
      <w:r w:rsidR="00CE660B" w:rsidRPr="00BF2D66">
        <w:rPr>
          <w:rFonts w:asciiTheme="minorHAnsi" w:hAnsiTheme="minorHAnsi" w:cstheme="minorHAnsi"/>
          <w:sz w:val="22"/>
          <w:szCs w:val="22"/>
          <w:lang w:val="fr-FR"/>
        </w:rPr>
        <w:t>minimum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°C et 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0BE7EF7B" w14:textId="77777777" w:rsidR="007B3909" w:rsidRDefault="007B3909" w:rsidP="00166B3F">
      <w:pPr>
        <w:pStyle w:val="TxBrp4"/>
        <w:spacing w:line="276" w:lineRule="auto"/>
        <w:jc w:val="both"/>
        <w:rPr>
          <w:rFonts w:asciiTheme="minorHAnsi" w:hAnsiTheme="minorHAnsi" w:cstheme="minorHAnsi"/>
          <w:sz w:val="22"/>
          <w:szCs w:val="22"/>
          <w:lang w:val="fr-FR"/>
        </w:rPr>
      </w:pPr>
    </w:p>
    <w:p w14:paraId="43FB841D" w14:textId="42806BAE" w:rsidR="00CE660B" w:rsidRDefault="008D40FE" w:rsidP="00166B3F">
      <w:pPr>
        <w:pStyle w:val="TxBrp4"/>
        <w:spacing w:line="276" w:lineRule="auto"/>
        <w:jc w:val="both"/>
        <w:rPr>
          <w:rFonts w:asciiTheme="minorHAnsi" w:hAnsiTheme="minorHAnsi" w:cstheme="minorHAnsi"/>
          <w:b/>
          <w:bCs/>
          <w:sz w:val="22"/>
          <w:szCs w:val="22"/>
          <w:lang w:val="fr-FR"/>
        </w:rPr>
      </w:pPr>
      <w:r w:rsidRPr="007B3909">
        <w:rPr>
          <w:rFonts w:asciiTheme="minorHAnsi" w:hAnsiTheme="minorHAnsi" w:cstheme="minorHAnsi"/>
          <w:b/>
          <w:bCs/>
          <w:sz w:val="22"/>
          <w:szCs w:val="22"/>
          <w:lang w:val="fr-FR"/>
        </w:rPr>
        <w:t xml:space="preserve">La pose </w:t>
      </w:r>
      <w:r w:rsidR="00E8048E" w:rsidRPr="007B3909">
        <w:rPr>
          <w:rFonts w:asciiTheme="minorHAnsi" w:hAnsiTheme="minorHAnsi" w:cstheme="minorHAnsi"/>
          <w:b/>
          <w:bCs/>
          <w:sz w:val="22"/>
          <w:szCs w:val="22"/>
          <w:lang w:val="fr-FR"/>
        </w:rPr>
        <w:t>de la</w:t>
      </w:r>
      <w:r w:rsidRPr="007B3909">
        <w:rPr>
          <w:rFonts w:asciiTheme="minorHAnsi" w:hAnsiTheme="minorHAnsi" w:cstheme="minorHAnsi"/>
          <w:b/>
          <w:bCs/>
          <w:sz w:val="22"/>
          <w:szCs w:val="22"/>
          <w:lang w:val="fr-FR"/>
        </w:rPr>
        <w:t xml:space="preserve"> </w:t>
      </w:r>
      <w:r w:rsidR="003A4BAB" w:rsidRPr="007B3909">
        <w:rPr>
          <w:rFonts w:asciiTheme="minorHAnsi" w:hAnsiTheme="minorHAnsi" w:cstheme="minorHAnsi"/>
          <w:b/>
          <w:bCs/>
          <w:sz w:val="22"/>
          <w:szCs w:val="22"/>
          <w:lang w:val="fr-FR"/>
        </w:rPr>
        <w:t>dalle</w:t>
      </w:r>
      <w:r w:rsidR="00CE660B" w:rsidRPr="007B3909">
        <w:rPr>
          <w:rFonts w:asciiTheme="minorHAnsi" w:hAnsiTheme="minorHAnsi" w:cstheme="minorHAnsi"/>
          <w:b/>
          <w:bCs/>
          <w:sz w:val="22"/>
          <w:szCs w:val="22"/>
          <w:lang w:val="fr-FR"/>
        </w:rPr>
        <w:t xml:space="preserve"> englobe également</w:t>
      </w:r>
      <w:r w:rsidR="00F13CA1" w:rsidRPr="007B3909">
        <w:rPr>
          <w:rFonts w:asciiTheme="minorHAnsi" w:hAnsiTheme="minorHAnsi" w:cstheme="minorHAnsi"/>
          <w:b/>
          <w:bCs/>
          <w:sz w:val="22"/>
          <w:szCs w:val="22"/>
          <w:lang w:val="fr-FR"/>
        </w:rPr>
        <w:t> </w:t>
      </w:r>
      <w:r w:rsidR="00CE660B" w:rsidRPr="007B3909">
        <w:rPr>
          <w:rFonts w:asciiTheme="minorHAnsi" w:hAnsiTheme="minorHAnsi" w:cstheme="minorHAnsi"/>
          <w:b/>
          <w:bCs/>
          <w:sz w:val="22"/>
          <w:szCs w:val="22"/>
          <w:lang w:val="fr-FR"/>
        </w:rPr>
        <w:t xml:space="preserve">: </w:t>
      </w:r>
    </w:p>
    <w:p w14:paraId="7AB3EF49" w14:textId="77777777" w:rsidR="007B3909" w:rsidRPr="007B3909" w:rsidRDefault="007B3909" w:rsidP="00166B3F">
      <w:pPr>
        <w:pStyle w:val="TxBrp4"/>
        <w:spacing w:line="276" w:lineRule="auto"/>
        <w:jc w:val="both"/>
        <w:rPr>
          <w:rFonts w:asciiTheme="minorHAnsi" w:hAnsiTheme="minorHAnsi" w:cstheme="minorHAnsi"/>
          <w:b/>
          <w:bCs/>
          <w:sz w:val="22"/>
          <w:szCs w:val="22"/>
          <w:lang w:val="fr-FR"/>
        </w:rPr>
      </w:pPr>
    </w:p>
    <w:p w14:paraId="43FB841E" w14:textId="77777777" w:rsidR="00CE660B" w:rsidRPr="00BF2D66" w:rsidRDefault="007E67B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166B3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eau par incréments de </w:t>
      </w:r>
      <w:r w:rsidRPr="00BF2D66">
        <w:rPr>
          <w:rFonts w:asciiTheme="minorHAnsi" w:hAnsiTheme="minorHAnsi" w:cstheme="minorHAnsi"/>
          <w:sz w:val="22"/>
          <w:szCs w:val="22"/>
          <w:lang w:val="fr-FR"/>
        </w:rPr>
        <w:lastRenderedPageBreak/>
        <w:t>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Default="000F15D0" w:rsidP="00166B3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00DB1A75" w14:textId="77777777" w:rsidR="007B3909" w:rsidRPr="00BF2D66" w:rsidRDefault="007B3909" w:rsidP="007B3909">
      <w:pPr>
        <w:pStyle w:val="TxBrp5"/>
        <w:spacing w:line="276" w:lineRule="auto"/>
        <w:ind w:left="683" w:firstLine="0"/>
        <w:jc w:val="both"/>
        <w:rPr>
          <w:rFonts w:asciiTheme="minorHAnsi" w:hAnsiTheme="minorHAnsi" w:cstheme="minorHAnsi"/>
          <w:sz w:val="22"/>
          <w:szCs w:val="22"/>
          <w:lang w:val="fr-FR"/>
        </w:rPr>
      </w:pPr>
    </w:p>
    <w:p w14:paraId="43FB8425" w14:textId="66578F2B" w:rsidR="00CE660B" w:rsidRDefault="00CE660B" w:rsidP="007B3909">
      <w:pPr>
        <w:pStyle w:val="TxBrp5"/>
        <w:spacing w:line="276" w:lineRule="auto"/>
        <w:ind w:left="683" w:firstLine="0"/>
        <w:jc w:val="both"/>
        <w:rPr>
          <w:rFonts w:asciiTheme="minorHAnsi" w:hAnsiTheme="minorHAnsi" w:cstheme="minorHAnsi"/>
          <w:b/>
          <w:bCs/>
          <w:sz w:val="22"/>
          <w:szCs w:val="22"/>
          <w:lang w:val="fr-FR"/>
        </w:rPr>
      </w:pPr>
      <w:r w:rsidRPr="007B3909">
        <w:rPr>
          <w:rFonts w:asciiTheme="minorHAnsi" w:hAnsiTheme="minorHAnsi" w:cstheme="minorHAnsi"/>
          <w:b/>
          <w:bCs/>
          <w:sz w:val="22"/>
          <w:szCs w:val="22"/>
          <w:lang w:val="fr-FR"/>
        </w:rPr>
        <w:t>C</w:t>
      </w:r>
      <w:r w:rsidR="0027663C" w:rsidRPr="007B3909">
        <w:rPr>
          <w:rFonts w:asciiTheme="minorHAnsi" w:hAnsiTheme="minorHAnsi" w:cstheme="minorHAnsi"/>
          <w:b/>
          <w:bCs/>
          <w:sz w:val="22"/>
          <w:szCs w:val="22"/>
          <w:lang w:val="fr-FR"/>
        </w:rPr>
        <w:t>hape à base de ciment</w:t>
      </w:r>
      <w:r w:rsidR="007B3909">
        <w:rPr>
          <w:rFonts w:asciiTheme="minorHAnsi" w:hAnsiTheme="minorHAnsi" w:cstheme="minorHAnsi"/>
          <w:b/>
          <w:bCs/>
          <w:sz w:val="22"/>
          <w:szCs w:val="22"/>
          <w:lang w:val="fr-FR"/>
        </w:rPr>
        <w:t> :</w:t>
      </w:r>
    </w:p>
    <w:p w14:paraId="75C31A43" w14:textId="77777777" w:rsidR="00A977E9" w:rsidRPr="007B3909" w:rsidRDefault="00A977E9" w:rsidP="007B3909">
      <w:pPr>
        <w:pStyle w:val="TxBrp5"/>
        <w:spacing w:line="276" w:lineRule="auto"/>
        <w:ind w:left="683" w:firstLine="0"/>
        <w:jc w:val="both"/>
        <w:rPr>
          <w:rFonts w:asciiTheme="minorHAnsi" w:hAnsiTheme="minorHAnsi" w:cstheme="minorHAnsi"/>
          <w:b/>
          <w:bCs/>
          <w:sz w:val="22"/>
          <w:szCs w:val="22"/>
          <w:lang w:val="fr-FR"/>
        </w:rPr>
      </w:pPr>
    </w:p>
    <w:p w14:paraId="43FB8426" w14:textId="07A56B8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5CAC1E5" w14:textId="77777777" w:rsidR="00A977E9" w:rsidRPr="00BF2D66" w:rsidRDefault="00A977E9" w:rsidP="00A977E9">
      <w:pPr>
        <w:pStyle w:val="TxBrp5"/>
        <w:spacing w:line="276" w:lineRule="auto"/>
        <w:ind w:left="1073" w:firstLine="0"/>
        <w:jc w:val="both"/>
        <w:rPr>
          <w:rFonts w:asciiTheme="minorHAnsi" w:hAnsiTheme="minorHAnsi" w:cstheme="minorHAnsi"/>
          <w:sz w:val="22"/>
          <w:szCs w:val="22"/>
          <w:lang w:val="fr-FR"/>
        </w:rPr>
      </w:pPr>
    </w:p>
    <w:p w14:paraId="43FB8429" w14:textId="5213358B" w:rsidR="00CE660B" w:rsidRDefault="00CE660B" w:rsidP="00A977E9">
      <w:pPr>
        <w:pStyle w:val="TxBrp5"/>
        <w:spacing w:line="276" w:lineRule="auto"/>
        <w:ind w:left="683" w:firstLine="0"/>
        <w:jc w:val="both"/>
        <w:rPr>
          <w:rFonts w:asciiTheme="minorHAnsi" w:hAnsiTheme="minorHAnsi" w:cstheme="minorHAnsi"/>
          <w:b/>
          <w:bCs/>
          <w:sz w:val="22"/>
          <w:szCs w:val="22"/>
          <w:lang w:val="fr-FR"/>
        </w:rPr>
      </w:pPr>
      <w:r w:rsidRPr="00A977E9">
        <w:rPr>
          <w:rFonts w:asciiTheme="minorHAnsi" w:hAnsiTheme="minorHAnsi" w:cstheme="minorHAnsi"/>
          <w:b/>
          <w:bCs/>
          <w:sz w:val="22"/>
          <w:szCs w:val="22"/>
          <w:lang w:val="fr-FR"/>
        </w:rPr>
        <w:t>Chape anhydrite</w:t>
      </w:r>
      <w:r w:rsidR="00A977E9" w:rsidRPr="00A977E9">
        <w:rPr>
          <w:rFonts w:asciiTheme="minorHAnsi" w:hAnsiTheme="minorHAnsi" w:cstheme="minorHAnsi"/>
          <w:b/>
          <w:bCs/>
          <w:sz w:val="22"/>
          <w:szCs w:val="22"/>
          <w:lang w:val="fr-FR"/>
        </w:rPr>
        <w:t> :</w:t>
      </w:r>
    </w:p>
    <w:p w14:paraId="222B7339" w14:textId="77777777" w:rsidR="00A977E9" w:rsidRPr="00A977E9" w:rsidRDefault="00A977E9" w:rsidP="00A977E9">
      <w:pPr>
        <w:pStyle w:val="TxBrp5"/>
        <w:spacing w:line="276" w:lineRule="auto"/>
        <w:ind w:left="683" w:firstLine="0"/>
        <w:jc w:val="both"/>
        <w:rPr>
          <w:rFonts w:asciiTheme="minorHAnsi" w:hAnsiTheme="minorHAnsi" w:cstheme="minorHAnsi"/>
          <w:b/>
          <w:bCs/>
          <w:sz w:val="22"/>
          <w:szCs w:val="22"/>
          <w:lang w:val="fr-FR"/>
        </w:rPr>
      </w:pPr>
    </w:p>
    <w:p w14:paraId="43FB842C" w14:textId="0B1573E0" w:rsidR="00CE660B" w:rsidRPr="008409E0"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166B3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30"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lastRenderedPageBreak/>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166B3F">
      <w:pPr>
        <w:pStyle w:val="TxBrp4"/>
        <w:spacing w:line="276" w:lineRule="auto"/>
        <w:jc w:val="both"/>
        <w:rPr>
          <w:rFonts w:asciiTheme="minorHAnsi" w:hAnsiTheme="minorHAnsi" w:cstheme="minorHAnsi"/>
          <w:sz w:val="22"/>
          <w:szCs w:val="22"/>
          <w:u w:val="single"/>
          <w:lang w:val="fr-FR"/>
        </w:rPr>
      </w:pPr>
    </w:p>
    <w:p w14:paraId="43FB843A" w14:textId="77777777" w:rsidR="00C72C65" w:rsidRPr="00BF2D66" w:rsidRDefault="00C72C65" w:rsidP="00166B3F">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166B3F">
      <w:pPr>
        <w:spacing w:line="276" w:lineRule="auto"/>
        <w:jc w:val="both"/>
        <w:rPr>
          <w:rFonts w:asciiTheme="minorHAnsi" w:hAnsiTheme="minorHAnsi" w:cstheme="minorHAnsi"/>
          <w:sz w:val="22"/>
          <w:szCs w:val="22"/>
          <w:lang w:val="fr-FR"/>
        </w:rPr>
      </w:pPr>
    </w:p>
    <w:p w14:paraId="43FB843C" w14:textId="77777777"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E" w14:textId="77777777" w:rsidR="006C548E" w:rsidRPr="00BF2D66" w:rsidRDefault="006C548E" w:rsidP="00166B3F">
      <w:pPr>
        <w:pStyle w:val="TxBrp11"/>
        <w:tabs>
          <w:tab w:val="left" w:pos="204"/>
        </w:tabs>
        <w:spacing w:line="276" w:lineRule="auto"/>
        <w:jc w:val="both"/>
        <w:rPr>
          <w:rFonts w:asciiTheme="minorHAnsi" w:hAnsiTheme="minorHAnsi" w:cstheme="minorHAnsi"/>
          <w:sz w:val="22"/>
          <w:szCs w:val="22"/>
          <w:lang w:val="fr-FR"/>
        </w:rPr>
      </w:pPr>
    </w:p>
    <w:p w14:paraId="43FB843F"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1" w14:textId="589D1834"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r w:rsidR="00DB3EBF">
        <w:rPr>
          <w:rFonts w:asciiTheme="minorHAnsi" w:hAnsiTheme="minorHAnsi" w:cstheme="minorHAnsi"/>
          <w:sz w:val="22"/>
          <w:szCs w:val="22"/>
          <w:lang w:val="fr-FR"/>
        </w:rPr>
        <w:t xml:space="preserve">  </w:t>
      </w:r>
      <w:r w:rsidR="00DB3EBF" w:rsidRPr="00DB3EBF">
        <w:rPr>
          <w:rFonts w:asciiTheme="minorHAnsi" w:hAnsiTheme="minorHAnsi" w:cstheme="minorHAnsi"/>
          <w:sz w:val="22"/>
          <w:szCs w:val="22"/>
          <w:lang w:val="fr-FR"/>
        </w:rPr>
        <w:t>Assurer l'utilisation de roues dures sous les fauteuils roulants.</w:t>
      </w:r>
    </w:p>
    <w:p w14:paraId="43FB8443"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4" w14:textId="77777777"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43FB8445"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6" w14:textId="645F854B"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C36E87" w:rsidRPr="00BF2D66">
        <w:rPr>
          <w:rFonts w:asciiTheme="minorHAnsi" w:hAnsiTheme="minorHAnsi" w:cstheme="minorHAnsi"/>
          <w:sz w:val="22"/>
          <w:szCs w:val="22"/>
          <w:lang w:val="fr-FR"/>
        </w:rPr>
        <w:t>grattant d’environ</w:t>
      </w:r>
      <w:r w:rsidRPr="00BF2D66">
        <w:rPr>
          <w:rFonts w:asciiTheme="minorHAnsi" w:hAnsiTheme="minorHAnsi" w:cstheme="minorHAnsi"/>
          <w:sz w:val="22"/>
          <w:szCs w:val="22"/>
          <w:lang w:val="fr-FR"/>
        </w:rPr>
        <w:t xml:space="preserve">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54336E" w:rsidRPr="009F1823">
        <w:rPr>
          <w:rFonts w:ascii="Calibri" w:hAnsi="Calibri" w:cs="Arial"/>
          <w:sz w:val="22"/>
          <w:szCs w:val="22"/>
          <w:lang w:val="fr-FR"/>
        </w:rPr>
        <w:t>”</w:t>
      </w:r>
      <w:r w:rsidR="0054336E"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intensité du trafic et 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43FB8448" w14:textId="77777777" w:rsidR="006C548E" w:rsidRPr="00BF2D66" w:rsidRDefault="006C548E" w:rsidP="00166B3F">
      <w:pPr>
        <w:pStyle w:val="TxBrp5"/>
        <w:spacing w:line="276" w:lineRule="auto"/>
        <w:ind w:left="0" w:firstLine="0"/>
        <w:jc w:val="both"/>
        <w:rPr>
          <w:rFonts w:asciiTheme="minorHAnsi" w:hAnsiTheme="minorHAnsi" w:cstheme="minorHAnsi"/>
          <w:sz w:val="22"/>
          <w:szCs w:val="22"/>
          <w:lang w:val="fr-FR"/>
        </w:rPr>
      </w:pPr>
    </w:p>
    <w:p w14:paraId="43FB8449"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166B3F">
      <w:pPr>
        <w:spacing w:line="276" w:lineRule="auto"/>
        <w:ind w:left="360"/>
        <w:jc w:val="both"/>
        <w:rPr>
          <w:rFonts w:asciiTheme="minorHAnsi" w:hAnsiTheme="minorHAnsi" w:cstheme="minorHAnsi"/>
          <w:sz w:val="22"/>
          <w:szCs w:val="22"/>
          <w:lang w:val="fr-FR"/>
        </w:rPr>
      </w:pPr>
    </w:p>
    <w:p w14:paraId="4485A890" w14:textId="77777777" w:rsidR="00470ED0"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r w:rsidR="00470ED0">
        <w:rPr>
          <w:rFonts w:asciiTheme="minorHAnsi" w:hAnsiTheme="minorHAnsi" w:cstheme="minorHAnsi"/>
          <w:sz w:val="22"/>
          <w:szCs w:val="22"/>
          <w:lang w:val="fr-FR"/>
        </w:rPr>
        <w:t xml:space="preserve">  </w:t>
      </w:r>
    </w:p>
    <w:p w14:paraId="43FB844D" w14:textId="413FB814"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43FB8450"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166B3F">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166B3F">
      <w:pPr>
        <w:pStyle w:val="TxBrp3"/>
        <w:tabs>
          <w:tab w:val="clear" w:pos="204"/>
        </w:tabs>
        <w:spacing w:line="276" w:lineRule="auto"/>
        <w:jc w:val="both"/>
        <w:rPr>
          <w:rFonts w:asciiTheme="minorHAnsi" w:hAnsiTheme="minorHAnsi" w:cstheme="minorHAnsi"/>
          <w:sz w:val="22"/>
          <w:szCs w:val="22"/>
          <w:lang w:val="fr-FR"/>
        </w:rPr>
      </w:pPr>
    </w:p>
    <w:p w14:paraId="43FB845B" w14:textId="77777777" w:rsidR="00212DC4" w:rsidRPr="00BF2D66" w:rsidRDefault="00212DC4"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p>
    <w:p w14:paraId="43FB845D"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BF2D66">
      <w:pPr>
        <w:spacing w:line="276" w:lineRule="auto"/>
        <w:rPr>
          <w:rFonts w:asciiTheme="minorHAnsi" w:hAnsiTheme="minorHAnsi" w:cstheme="minorHAnsi"/>
          <w:sz w:val="22"/>
          <w:szCs w:val="22"/>
          <w:lang w:val="fr-FR"/>
        </w:rPr>
      </w:pPr>
    </w:p>
    <w:p w14:paraId="43FB8463" w14:textId="77777777" w:rsidR="00D1062E" w:rsidRPr="00BF2D66" w:rsidRDefault="00D1062E" w:rsidP="00BF2D66">
      <w:pPr>
        <w:tabs>
          <w:tab w:val="left" w:pos="204"/>
        </w:tabs>
        <w:spacing w:line="276" w:lineRule="auto"/>
        <w:rPr>
          <w:rFonts w:asciiTheme="minorHAnsi" w:hAnsiTheme="minorHAnsi" w:cstheme="minorHAnsi"/>
          <w:sz w:val="22"/>
          <w:szCs w:val="22"/>
          <w:lang w:val="fr-FR"/>
        </w:rPr>
      </w:pPr>
    </w:p>
    <w:sectPr w:rsidR="00D1062E" w:rsidRPr="00BF2D66" w:rsidSect="007B3909">
      <w:headerReference w:type="default" r:id="rId7"/>
      <w:pgSz w:w="12240" w:h="15840"/>
      <w:pgMar w:top="1440" w:right="1041"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6F7" w14:textId="77777777" w:rsidR="004A62C3" w:rsidRDefault="004A62C3" w:rsidP="00212DC4">
      <w:r>
        <w:separator/>
      </w:r>
    </w:p>
  </w:endnote>
  <w:endnote w:type="continuationSeparator" w:id="0">
    <w:p w14:paraId="514D33C8" w14:textId="77777777" w:rsidR="004A62C3" w:rsidRDefault="004A62C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151" w14:textId="77777777" w:rsidR="004A62C3" w:rsidRDefault="004A62C3" w:rsidP="00212DC4">
      <w:r>
        <w:separator/>
      </w:r>
    </w:p>
  </w:footnote>
  <w:footnote w:type="continuationSeparator" w:id="0">
    <w:p w14:paraId="39F03812" w14:textId="77777777" w:rsidR="004A62C3" w:rsidRDefault="004A62C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DE59" w14:textId="5D905908" w:rsidR="00530EEE" w:rsidRDefault="00530EEE">
    <w:pPr>
      <w:pStyle w:val="Koptekst"/>
    </w:pPr>
    <w:r>
      <w:t>Mai 2024</w:t>
    </w:r>
  </w:p>
  <w:p w14:paraId="31BE499D" w14:textId="77777777" w:rsidR="00530EEE" w:rsidRDefault="00530E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23798992">
    <w:abstractNumId w:val="1"/>
  </w:num>
  <w:num w:numId="2" w16cid:durableId="1938243953">
    <w:abstractNumId w:val="0"/>
  </w:num>
  <w:num w:numId="3" w16cid:durableId="969750093">
    <w:abstractNumId w:val="3"/>
  </w:num>
  <w:num w:numId="4" w16cid:durableId="33039873">
    <w:abstractNumId w:val="2"/>
  </w:num>
  <w:num w:numId="5" w16cid:durableId="1092169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199F"/>
    <w:rsid w:val="00033C72"/>
    <w:rsid w:val="00036400"/>
    <w:rsid w:val="00066599"/>
    <w:rsid w:val="000709C5"/>
    <w:rsid w:val="00083B61"/>
    <w:rsid w:val="00083FA7"/>
    <w:rsid w:val="00084748"/>
    <w:rsid w:val="00092DF5"/>
    <w:rsid w:val="000A1B0E"/>
    <w:rsid w:val="000A1DD0"/>
    <w:rsid w:val="000A59DE"/>
    <w:rsid w:val="000A6BC8"/>
    <w:rsid w:val="000B1D75"/>
    <w:rsid w:val="000C6137"/>
    <w:rsid w:val="000D7B67"/>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2474C"/>
    <w:rsid w:val="002255DD"/>
    <w:rsid w:val="0027189F"/>
    <w:rsid w:val="0027663C"/>
    <w:rsid w:val="0028409E"/>
    <w:rsid w:val="002918E2"/>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D13E3"/>
    <w:rsid w:val="003E1182"/>
    <w:rsid w:val="003F09FB"/>
    <w:rsid w:val="003F0AF1"/>
    <w:rsid w:val="004041EC"/>
    <w:rsid w:val="00413317"/>
    <w:rsid w:val="004221BA"/>
    <w:rsid w:val="00427C3A"/>
    <w:rsid w:val="0043315C"/>
    <w:rsid w:val="004417DC"/>
    <w:rsid w:val="00442B75"/>
    <w:rsid w:val="004572B2"/>
    <w:rsid w:val="0046501D"/>
    <w:rsid w:val="00470ED0"/>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30EEE"/>
    <w:rsid w:val="00542620"/>
    <w:rsid w:val="0054336E"/>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40B2B"/>
    <w:rsid w:val="0065164A"/>
    <w:rsid w:val="006516CE"/>
    <w:rsid w:val="00657722"/>
    <w:rsid w:val="00676BF2"/>
    <w:rsid w:val="006A23E8"/>
    <w:rsid w:val="006A427F"/>
    <w:rsid w:val="006C262A"/>
    <w:rsid w:val="006C548E"/>
    <w:rsid w:val="006D07D6"/>
    <w:rsid w:val="006D27A1"/>
    <w:rsid w:val="006E71DD"/>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856DA"/>
    <w:rsid w:val="007A59AB"/>
    <w:rsid w:val="007B2E8C"/>
    <w:rsid w:val="007B3909"/>
    <w:rsid w:val="007B5FBB"/>
    <w:rsid w:val="007C5B7E"/>
    <w:rsid w:val="007D1DE1"/>
    <w:rsid w:val="007E67BB"/>
    <w:rsid w:val="007E7AAA"/>
    <w:rsid w:val="007F0D8C"/>
    <w:rsid w:val="007F1120"/>
    <w:rsid w:val="007F6104"/>
    <w:rsid w:val="007F656B"/>
    <w:rsid w:val="00801BA3"/>
    <w:rsid w:val="00802DAB"/>
    <w:rsid w:val="0080583E"/>
    <w:rsid w:val="0081128C"/>
    <w:rsid w:val="00812491"/>
    <w:rsid w:val="0083144D"/>
    <w:rsid w:val="008409E0"/>
    <w:rsid w:val="0084574B"/>
    <w:rsid w:val="00861D5F"/>
    <w:rsid w:val="0088283E"/>
    <w:rsid w:val="00884658"/>
    <w:rsid w:val="00887058"/>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32390"/>
    <w:rsid w:val="00952CF3"/>
    <w:rsid w:val="0095506D"/>
    <w:rsid w:val="00955F0C"/>
    <w:rsid w:val="0098213A"/>
    <w:rsid w:val="00984148"/>
    <w:rsid w:val="00990844"/>
    <w:rsid w:val="009A63C6"/>
    <w:rsid w:val="009C7636"/>
    <w:rsid w:val="009D4729"/>
    <w:rsid w:val="009E0424"/>
    <w:rsid w:val="009F1823"/>
    <w:rsid w:val="009F215B"/>
    <w:rsid w:val="00A11374"/>
    <w:rsid w:val="00A22411"/>
    <w:rsid w:val="00A34758"/>
    <w:rsid w:val="00A35347"/>
    <w:rsid w:val="00A42F6F"/>
    <w:rsid w:val="00A478E6"/>
    <w:rsid w:val="00A50232"/>
    <w:rsid w:val="00A61C0F"/>
    <w:rsid w:val="00A769BB"/>
    <w:rsid w:val="00A977E9"/>
    <w:rsid w:val="00A97C4A"/>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31577"/>
    <w:rsid w:val="00C36E87"/>
    <w:rsid w:val="00C46E12"/>
    <w:rsid w:val="00C506CE"/>
    <w:rsid w:val="00C628F1"/>
    <w:rsid w:val="00C72C65"/>
    <w:rsid w:val="00C81B21"/>
    <w:rsid w:val="00C82E42"/>
    <w:rsid w:val="00C90287"/>
    <w:rsid w:val="00CA3748"/>
    <w:rsid w:val="00CA7EE2"/>
    <w:rsid w:val="00CB1CBB"/>
    <w:rsid w:val="00CC1404"/>
    <w:rsid w:val="00CC31A8"/>
    <w:rsid w:val="00CE02FE"/>
    <w:rsid w:val="00CE660B"/>
    <w:rsid w:val="00D1062E"/>
    <w:rsid w:val="00D15ABD"/>
    <w:rsid w:val="00D53F72"/>
    <w:rsid w:val="00D56FC6"/>
    <w:rsid w:val="00D6326B"/>
    <w:rsid w:val="00D6717C"/>
    <w:rsid w:val="00D679D9"/>
    <w:rsid w:val="00D874EE"/>
    <w:rsid w:val="00D93554"/>
    <w:rsid w:val="00D9763D"/>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8048E"/>
    <w:rsid w:val="00E85DB9"/>
    <w:rsid w:val="00E87F4C"/>
    <w:rsid w:val="00E915FA"/>
    <w:rsid w:val="00E93E19"/>
    <w:rsid w:val="00E94E26"/>
    <w:rsid w:val="00EA35FA"/>
    <w:rsid w:val="00EB0C5E"/>
    <w:rsid w:val="00EF1E00"/>
    <w:rsid w:val="00F13CA1"/>
    <w:rsid w:val="00F20FF6"/>
    <w:rsid w:val="00F2201C"/>
    <w:rsid w:val="00F22366"/>
    <w:rsid w:val="00F2324C"/>
    <w:rsid w:val="00F3684C"/>
    <w:rsid w:val="00F40D7E"/>
    <w:rsid w:val="00F72603"/>
    <w:rsid w:val="00F849C2"/>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4572B2"/>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2036</Words>
  <Characters>11203</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11</cp:revision>
  <cp:lastPrinted>2016-08-29T14:22:00Z</cp:lastPrinted>
  <dcterms:created xsi:type="dcterms:W3CDTF">2022-07-15T13:34:00Z</dcterms:created>
  <dcterms:modified xsi:type="dcterms:W3CDTF">2024-06-12T09:03:00Z</dcterms:modified>
</cp:coreProperties>
</file>