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7553C" w14:textId="77777777" w:rsidR="00F15FCD" w:rsidRPr="00F15FCD" w:rsidRDefault="00F15FCD" w:rsidP="00F15FCD">
      <w:pPr>
        <w:pStyle w:val="TxBrp4"/>
        <w:spacing w:line="276" w:lineRule="auto"/>
        <w:jc w:val="center"/>
        <w:rPr>
          <w:rFonts w:asciiTheme="minorHAnsi" w:hAnsiTheme="minorHAnsi" w:cs="Arial"/>
          <w:b/>
          <w:bCs/>
          <w:iCs/>
          <w:color w:val="000000"/>
          <w:sz w:val="22"/>
          <w:szCs w:val="22"/>
          <w:u w:val="single"/>
        </w:rPr>
      </w:pPr>
      <w:r w:rsidRPr="00F15FCD">
        <w:rPr>
          <w:rFonts w:asciiTheme="minorHAnsi" w:hAnsiTheme="minorHAnsi" w:cs="Arial"/>
          <w:b/>
          <w:bCs/>
          <w:iCs/>
          <w:color w:val="000000"/>
          <w:sz w:val="22"/>
          <w:szCs w:val="22"/>
          <w:u w:val="single"/>
        </w:rPr>
        <w:t>Dalle de moquette durable à grosses boucles texturées en Econyl – 50 x 50 cm</w:t>
      </w:r>
    </w:p>
    <w:p w14:paraId="30FDCFCA" w14:textId="77777777" w:rsidR="00F15FCD" w:rsidRDefault="00F15FCD" w:rsidP="00F15FCD">
      <w:pPr>
        <w:pStyle w:val="TxBrp4"/>
        <w:spacing w:line="276" w:lineRule="auto"/>
        <w:rPr>
          <w:rFonts w:asciiTheme="minorHAnsi" w:hAnsiTheme="minorHAnsi" w:cs="Arial"/>
          <w:iCs/>
          <w:color w:val="000000"/>
          <w:sz w:val="22"/>
          <w:szCs w:val="22"/>
        </w:rPr>
      </w:pPr>
    </w:p>
    <w:p w14:paraId="77447BE4" w14:textId="77777777" w:rsidR="00F15FCD" w:rsidRPr="00F15FCD" w:rsidRDefault="00F15FCD" w:rsidP="00F15FCD">
      <w:pPr>
        <w:pStyle w:val="TxBrp4"/>
        <w:spacing w:line="276" w:lineRule="auto"/>
        <w:rPr>
          <w:rFonts w:asciiTheme="minorHAnsi" w:hAnsiTheme="minorHAnsi" w:cs="Arial"/>
          <w:iCs/>
          <w:color w:val="000000"/>
          <w:sz w:val="22"/>
          <w:szCs w:val="22"/>
        </w:rPr>
      </w:pPr>
    </w:p>
    <w:p w14:paraId="14194EEE" w14:textId="77777777" w:rsidR="00F15FCD" w:rsidRPr="00F15FC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Mesure : m², au mètre carré, selon le type</w:t>
      </w:r>
    </w:p>
    <w:p w14:paraId="29F5AC12" w14:textId="77777777" w:rsidR="00F15FCD" w:rsidRPr="00F15FC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Code de mesure : surface nette</w:t>
      </w:r>
    </w:p>
    <w:p w14:paraId="50D6FD70" w14:textId="77777777" w:rsidR="00F15FCD" w:rsidRPr="00F15FCD" w:rsidRDefault="00F15FCD" w:rsidP="00F15FCD">
      <w:pPr>
        <w:pStyle w:val="TxBrp4"/>
        <w:spacing w:line="276" w:lineRule="auto"/>
        <w:rPr>
          <w:rFonts w:asciiTheme="minorHAnsi" w:hAnsiTheme="minorHAnsi" w:cs="Arial"/>
          <w:iCs/>
          <w:color w:val="000000"/>
          <w:sz w:val="22"/>
          <w:szCs w:val="22"/>
        </w:rPr>
      </w:pPr>
    </w:p>
    <w:p w14:paraId="62C595CA" w14:textId="77777777" w:rsidR="00F15FCD" w:rsidRDefault="00F15FCD" w:rsidP="00F15FCD">
      <w:pPr>
        <w:pStyle w:val="TxBrp4"/>
        <w:spacing w:line="276" w:lineRule="auto"/>
        <w:rPr>
          <w:rFonts w:asciiTheme="minorHAnsi" w:hAnsiTheme="minorHAnsi" w:cs="Arial"/>
          <w:b/>
          <w:bCs/>
          <w:iCs/>
          <w:color w:val="000000"/>
          <w:sz w:val="22"/>
          <w:szCs w:val="22"/>
          <w:u w:val="single"/>
        </w:rPr>
      </w:pPr>
      <w:r w:rsidRPr="00F15FCD">
        <w:rPr>
          <w:rFonts w:asciiTheme="minorHAnsi" w:hAnsiTheme="minorHAnsi" w:cs="Arial"/>
          <w:b/>
          <w:bCs/>
          <w:iCs/>
          <w:color w:val="000000"/>
          <w:sz w:val="22"/>
          <w:szCs w:val="22"/>
          <w:u w:val="single"/>
        </w:rPr>
        <w:t>Matériau</w:t>
      </w:r>
    </w:p>
    <w:p w14:paraId="48F13790" w14:textId="77777777" w:rsidR="00F15FCD" w:rsidRPr="00F15FCD" w:rsidRDefault="00F15FCD" w:rsidP="00F15FCD">
      <w:pPr>
        <w:pStyle w:val="TxBrp4"/>
        <w:spacing w:line="276" w:lineRule="auto"/>
        <w:rPr>
          <w:rFonts w:asciiTheme="minorHAnsi" w:hAnsiTheme="minorHAnsi" w:cs="Arial"/>
          <w:b/>
          <w:bCs/>
          <w:iCs/>
          <w:color w:val="000000"/>
          <w:sz w:val="22"/>
          <w:szCs w:val="22"/>
          <w:u w:val="single"/>
        </w:rPr>
      </w:pPr>
    </w:p>
    <w:p w14:paraId="511059FF" w14:textId="77777777" w:rsidR="00F15FCD" w:rsidRPr="00F15FC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Dalle de moquette tuftée à grosses boucles texturées au format 50x50 cm. Le poids du velours est de 750 g/m² et la composition du velours est constituée à 100 % de fil polyamide 6 régénéré Econyl. Le poids total est de 4065 g/m².</w:t>
      </w:r>
    </w:p>
    <w:p w14:paraId="7B596FE3" w14:textId="77777777" w:rsidR="00F15FCD" w:rsidRPr="00F15FCD" w:rsidRDefault="00F15FCD" w:rsidP="00F15FCD">
      <w:pPr>
        <w:pStyle w:val="TxBrp4"/>
        <w:spacing w:line="276" w:lineRule="auto"/>
        <w:rPr>
          <w:rFonts w:asciiTheme="minorHAnsi" w:hAnsiTheme="minorHAnsi" w:cs="Arial"/>
          <w:iCs/>
          <w:color w:val="000000"/>
          <w:sz w:val="22"/>
          <w:szCs w:val="22"/>
        </w:rPr>
      </w:pPr>
    </w:p>
    <w:p w14:paraId="31265904" w14:textId="77777777" w:rsidR="00F15FCD" w:rsidRPr="00F15FC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La dalle de moquette répond à la classe d’usage 33 pour une utilisation commerciale intensive. Le fabricant offre une garantie produit de 10 ans.</w:t>
      </w:r>
    </w:p>
    <w:p w14:paraId="2731CA8B" w14:textId="77777777" w:rsidR="00F15FCD" w:rsidRPr="00F15FCD" w:rsidRDefault="00F15FCD" w:rsidP="00F15FCD">
      <w:pPr>
        <w:pStyle w:val="TxBrp4"/>
        <w:spacing w:line="276" w:lineRule="auto"/>
        <w:rPr>
          <w:rFonts w:asciiTheme="minorHAnsi" w:hAnsiTheme="minorHAnsi" w:cs="Arial"/>
          <w:iCs/>
          <w:color w:val="000000"/>
          <w:sz w:val="22"/>
          <w:szCs w:val="22"/>
        </w:rPr>
      </w:pPr>
    </w:p>
    <w:p w14:paraId="3C33F30A" w14:textId="77777777" w:rsidR="00F15FCD" w:rsidRPr="00F15FC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La dalle est disponible en 24 couleurs semi-unies, facilement combinables avec les autres gammes de produits du fabricant. Les dalles peuvent être posées de manière monolithique, multidirectionnelle ou en damier.</w:t>
      </w:r>
    </w:p>
    <w:p w14:paraId="2FFF977B" w14:textId="77777777" w:rsidR="00F15FCD" w:rsidRPr="00F15FCD" w:rsidRDefault="00F15FCD" w:rsidP="00F15FCD">
      <w:pPr>
        <w:pStyle w:val="TxBrp4"/>
        <w:spacing w:line="276" w:lineRule="auto"/>
        <w:rPr>
          <w:rFonts w:asciiTheme="minorHAnsi" w:hAnsiTheme="minorHAnsi" w:cs="Arial"/>
          <w:iCs/>
          <w:color w:val="000000"/>
          <w:sz w:val="22"/>
          <w:szCs w:val="22"/>
        </w:rPr>
      </w:pPr>
    </w:p>
    <w:p w14:paraId="7B632325" w14:textId="77777777" w:rsidR="00F15FCD" w:rsidRPr="00F15FC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 xml:space="preserve">La dalle de moquette offre une réduction des bruits d’impact de 26 dB et une valeur d’absorption acoustique de 0,15 </w:t>
      </w:r>
      <w:proofErr w:type="spellStart"/>
      <w:r w:rsidRPr="00F15FCD">
        <w:rPr>
          <w:rFonts w:asciiTheme="minorHAnsi" w:hAnsiTheme="minorHAnsi" w:cs="Arial"/>
          <w:iCs/>
          <w:color w:val="000000"/>
          <w:sz w:val="22"/>
          <w:szCs w:val="22"/>
        </w:rPr>
        <w:t>aW</w:t>
      </w:r>
      <w:proofErr w:type="spellEnd"/>
      <w:r w:rsidRPr="00F15FCD">
        <w:rPr>
          <w:rFonts w:asciiTheme="minorHAnsi" w:hAnsiTheme="minorHAnsi" w:cs="Arial"/>
          <w:iCs/>
          <w:color w:val="000000"/>
          <w:sz w:val="22"/>
          <w:szCs w:val="22"/>
        </w:rPr>
        <w:t>. La classe de réaction au feu est Bfl-S1.</w:t>
      </w:r>
    </w:p>
    <w:p w14:paraId="25483E00" w14:textId="77777777" w:rsidR="00F15FCD" w:rsidRPr="00F15FCD" w:rsidRDefault="00F15FCD" w:rsidP="00F15FCD">
      <w:pPr>
        <w:pStyle w:val="TxBrp4"/>
        <w:spacing w:line="276" w:lineRule="auto"/>
        <w:rPr>
          <w:rFonts w:asciiTheme="minorHAnsi" w:hAnsiTheme="minorHAnsi" w:cs="Arial"/>
          <w:iCs/>
          <w:color w:val="000000"/>
          <w:sz w:val="22"/>
          <w:szCs w:val="22"/>
        </w:rPr>
      </w:pPr>
    </w:p>
    <w:p w14:paraId="5F7F4DB4" w14:textId="52263E32" w:rsidR="00F15FCD" w:rsidRPr="00F15FC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La dalle contient 77 % de matières recyclées en poids. L</w:t>
      </w:r>
      <w:r>
        <w:rPr>
          <w:rFonts w:asciiTheme="minorHAnsi" w:hAnsiTheme="minorHAnsi" w:cs="Arial"/>
          <w:iCs/>
          <w:color w:val="000000"/>
          <w:sz w:val="22"/>
          <w:szCs w:val="22"/>
        </w:rPr>
        <w:t>’EPD</w:t>
      </w:r>
      <w:r w:rsidRPr="00F15FCD">
        <w:rPr>
          <w:rFonts w:asciiTheme="minorHAnsi" w:hAnsiTheme="minorHAnsi" w:cs="Arial"/>
          <w:iCs/>
          <w:color w:val="000000"/>
          <w:sz w:val="22"/>
          <w:szCs w:val="22"/>
        </w:rPr>
        <w:t xml:space="preserve"> indépendante indique que la dalle de moquette contient seulement 1,73 kg de CO₂ par m², sans compensation (A1-A3). La production est réalisée à 100 % à partir d’électricité verte.</w:t>
      </w:r>
    </w:p>
    <w:p w14:paraId="31D4EC13" w14:textId="77777777" w:rsidR="00F15FCD" w:rsidRPr="00F15FCD" w:rsidRDefault="00F15FCD" w:rsidP="00F15FCD">
      <w:pPr>
        <w:pStyle w:val="TxBrp4"/>
        <w:spacing w:line="276" w:lineRule="auto"/>
        <w:rPr>
          <w:rFonts w:asciiTheme="minorHAnsi" w:hAnsiTheme="minorHAnsi" w:cs="Arial"/>
          <w:iCs/>
          <w:color w:val="000000"/>
          <w:sz w:val="22"/>
          <w:szCs w:val="22"/>
        </w:rPr>
      </w:pPr>
    </w:p>
    <w:p w14:paraId="50716E24" w14:textId="77777777" w:rsidR="00F15FCD" w:rsidRPr="00F15FC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Les chutes issues de l’installation peuvent être reprises dans le cadre du programme « Back to the Floor » du fabricant, en vue de leur recyclage.</w:t>
      </w:r>
    </w:p>
    <w:p w14:paraId="2A9B41BB" w14:textId="77777777" w:rsidR="00F15FCD" w:rsidRPr="00F15FCD" w:rsidRDefault="00F15FCD" w:rsidP="00F15FCD">
      <w:pPr>
        <w:pStyle w:val="TxBrp4"/>
        <w:spacing w:line="276" w:lineRule="auto"/>
        <w:rPr>
          <w:rFonts w:asciiTheme="minorHAnsi" w:hAnsiTheme="minorHAnsi" w:cs="Arial"/>
          <w:iCs/>
          <w:color w:val="000000"/>
          <w:sz w:val="22"/>
          <w:szCs w:val="22"/>
        </w:rPr>
      </w:pPr>
    </w:p>
    <w:p w14:paraId="213576EE" w14:textId="66F36B39" w:rsidR="00F15FCD" w:rsidRPr="00F15FC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 xml:space="preserve">La contribution à un air intérieur sain est assurée par le certificat Prodis-Gut, le label Indoor Air Comfort Gold et le </w:t>
      </w:r>
      <w:r w:rsidR="00F72802">
        <w:rPr>
          <w:rFonts w:asciiTheme="minorHAnsi" w:hAnsiTheme="minorHAnsi" w:cs="Arial"/>
          <w:iCs/>
          <w:color w:val="000000"/>
          <w:sz w:val="22"/>
          <w:szCs w:val="22"/>
        </w:rPr>
        <w:t>certificat</w:t>
      </w:r>
      <w:r w:rsidRPr="00F15FCD">
        <w:rPr>
          <w:rFonts w:asciiTheme="minorHAnsi" w:hAnsiTheme="minorHAnsi" w:cs="Arial"/>
          <w:iCs/>
          <w:color w:val="000000"/>
          <w:sz w:val="22"/>
          <w:szCs w:val="22"/>
        </w:rPr>
        <w:t xml:space="preserve"> AgBB.</w:t>
      </w:r>
    </w:p>
    <w:p w14:paraId="1B2053B1" w14:textId="77777777" w:rsidR="00F15FCD" w:rsidRPr="00F15FCD" w:rsidRDefault="00F15FCD" w:rsidP="00F15FCD">
      <w:pPr>
        <w:pStyle w:val="TxBrp4"/>
        <w:spacing w:line="276" w:lineRule="auto"/>
        <w:rPr>
          <w:rFonts w:asciiTheme="minorHAnsi" w:hAnsiTheme="minorHAnsi" w:cs="Arial"/>
          <w:iCs/>
          <w:color w:val="000000"/>
          <w:sz w:val="22"/>
          <w:szCs w:val="22"/>
        </w:rPr>
      </w:pPr>
    </w:p>
    <w:p w14:paraId="589C72EE" w14:textId="42376EDD" w:rsidR="00FD73E7" w:rsidRPr="007300FD" w:rsidRDefault="00F15FCD" w:rsidP="00F15FCD">
      <w:pPr>
        <w:pStyle w:val="TxBrp4"/>
        <w:spacing w:line="276" w:lineRule="auto"/>
        <w:rPr>
          <w:rFonts w:asciiTheme="minorHAnsi" w:hAnsiTheme="minorHAnsi" w:cs="Arial"/>
          <w:iCs/>
          <w:color w:val="000000"/>
          <w:sz w:val="22"/>
          <w:szCs w:val="22"/>
        </w:rPr>
      </w:pPr>
      <w:r w:rsidRPr="00F15FCD">
        <w:rPr>
          <w:rFonts w:asciiTheme="minorHAnsi" w:hAnsiTheme="minorHAnsi" w:cs="Arial"/>
          <w:iCs/>
          <w:color w:val="000000"/>
          <w:sz w:val="22"/>
          <w:szCs w:val="22"/>
        </w:rPr>
        <w:t>Le fabricant est certifié ISO 9001, ISO 14001, ISO 45001 et SA 8000.</w:t>
      </w:r>
    </w:p>
    <w:p w14:paraId="75B388A1" w14:textId="77777777" w:rsidR="007C6E8D" w:rsidRPr="007300FD" w:rsidRDefault="007C6E8D" w:rsidP="007E4C4E">
      <w:pPr>
        <w:pStyle w:val="TxBrp4"/>
        <w:spacing w:line="276" w:lineRule="auto"/>
        <w:rPr>
          <w:rFonts w:asciiTheme="minorHAnsi" w:hAnsiTheme="minorHAnsi" w:cs="Arial"/>
          <w:iCs/>
          <w:color w:val="000000"/>
          <w:sz w:val="22"/>
          <w:szCs w:val="22"/>
        </w:rPr>
      </w:pPr>
    </w:p>
    <w:p w14:paraId="651E3E5D" w14:textId="77777777" w:rsidR="007C6E8D" w:rsidRPr="007300FD" w:rsidRDefault="007C6E8D" w:rsidP="007E4C4E">
      <w:pPr>
        <w:pStyle w:val="TxBrp4"/>
        <w:spacing w:line="276" w:lineRule="auto"/>
        <w:rPr>
          <w:rFonts w:asciiTheme="minorHAnsi" w:hAnsiTheme="minorHAnsi" w:cs="Arial"/>
          <w:iCs/>
          <w:color w:val="000000"/>
          <w:sz w:val="22"/>
          <w:szCs w:val="22"/>
        </w:rPr>
      </w:pPr>
    </w:p>
    <w:p w14:paraId="3C59C8CC" w14:textId="77777777" w:rsidR="00C914CE" w:rsidRDefault="00C914CE" w:rsidP="007E4C4E">
      <w:pPr>
        <w:pStyle w:val="TxBrp4"/>
        <w:spacing w:line="276" w:lineRule="auto"/>
        <w:rPr>
          <w:rFonts w:asciiTheme="minorHAnsi" w:hAnsiTheme="minorHAnsi" w:cs="Arial"/>
          <w:iCs/>
          <w:color w:val="000000"/>
          <w:sz w:val="22"/>
          <w:szCs w:val="22"/>
        </w:rPr>
      </w:pPr>
    </w:p>
    <w:p w14:paraId="790A4EAE" w14:textId="77777777" w:rsidR="007300FD" w:rsidRPr="007300FD" w:rsidRDefault="007300FD" w:rsidP="007E4C4E">
      <w:pPr>
        <w:pStyle w:val="TxBrp4"/>
        <w:spacing w:line="276" w:lineRule="auto"/>
        <w:rPr>
          <w:rFonts w:asciiTheme="minorHAnsi" w:hAnsiTheme="minorHAnsi" w:cs="Arial"/>
          <w:iCs/>
          <w:color w:val="000000"/>
          <w:sz w:val="22"/>
          <w:szCs w:val="22"/>
        </w:rPr>
      </w:pPr>
    </w:p>
    <w:p w14:paraId="452B8148" w14:textId="77777777" w:rsidR="009B67B1" w:rsidRDefault="009B67B1" w:rsidP="007E4C4E">
      <w:pPr>
        <w:pStyle w:val="TxBrp4"/>
        <w:spacing w:line="276" w:lineRule="auto"/>
        <w:rPr>
          <w:rFonts w:asciiTheme="minorHAnsi" w:hAnsiTheme="minorHAnsi" w:cs="Arial"/>
          <w:iCs/>
          <w:color w:val="000000"/>
          <w:sz w:val="22"/>
          <w:szCs w:val="22"/>
        </w:rPr>
      </w:pPr>
    </w:p>
    <w:p w14:paraId="72040F39" w14:textId="77777777" w:rsidR="00F15FCD" w:rsidRDefault="00F15FCD" w:rsidP="007E4C4E">
      <w:pPr>
        <w:pStyle w:val="TxBrp4"/>
        <w:spacing w:line="276" w:lineRule="auto"/>
        <w:rPr>
          <w:rFonts w:asciiTheme="minorHAnsi" w:hAnsiTheme="minorHAnsi" w:cs="Arial"/>
          <w:iCs/>
          <w:color w:val="000000"/>
          <w:sz w:val="22"/>
          <w:szCs w:val="22"/>
        </w:rPr>
      </w:pPr>
    </w:p>
    <w:p w14:paraId="5757A11F" w14:textId="77777777" w:rsidR="00F15FCD" w:rsidRPr="007300FD" w:rsidRDefault="00F15FCD" w:rsidP="007E4C4E">
      <w:pPr>
        <w:pStyle w:val="TxBrp4"/>
        <w:spacing w:line="276" w:lineRule="auto"/>
        <w:rPr>
          <w:rFonts w:asciiTheme="minorHAnsi" w:hAnsiTheme="minorHAnsi" w:cs="Arial"/>
          <w:iCs/>
          <w:color w:val="000000"/>
          <w:sz w:val="22"/>
          <w:szCs w:val="22"/>
        </w:rPr>
      </w:pPr>
    </w:p>
    <w:p w14:paraId="1F835DC7" w14:textId="77777777" w:rsidR="009B67B1" w:rsidRPr="007300FD" w:rsidRDefault="009B67B1" w:rsidP="007E4C4E">
      <w:pPr>
        <w:pStyle w:val="TxBrp4"/>
        <w:spacing w:line="276" w:lineRule="auto"/>
        <w:rPr>
          <w:rFonts w:asciiTheme="minorHAnsi" w:hAnsiTheme="minorHAnsi" w:cs="Arial"/>
          <w:iCs/>
          <w:color w:val="000000"/>
          <w:sz w:val="22"/>
          <w:szCs w:val="22"/>
        </w:rPr>
      </w:pPr>
    </w:p>
    <w:p w14:paraId="5367DC14" w14:textId="77777777" w:rsidR="007C6E8D" w:rsidRPr="007300FD" w:rsidRDefault="007C6E8D" w:rsidP="007E4C4E">
      <w:pPr>
        <w:pStyle w:val="TxBrp4"/>
        <w:spacing w:line="276" w:lineRule="auto"/>
        <w:rPr>
          <w:rFonts w:asciiTheme="minorHAnsi" w:hAnsiTheme="minorHAnsi" w:cs="Arial"/>
          <w:iCs/>
          <w:color w:val="000000"/>
          <w:sz w:val="22"/>
          <w:szCs w:val="22"/>
        </w:rPr>
      </w:pPr>
    </w:p>
    <w:p w14:paraId="59937758" w14:textId="77777777" w:rsidR="00AB0DB0" w:rsidRDefault="00AB0DB0" w:rsidP="00AB0DB0">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lastRenderedPageBreak/>
        <w:t>Spécifications techniques selon EN 1307 et EN 14041</w:t>
      </w:r>
    </w:p>
    <w:p w14:paraId="09564DE1" w14:textId="77777777" w:rsidR="00AB0DB0" w:rsidRPr="00BF2D66" w:rsidRDefault="00AB0DB0" w:rsidP="00AB0DB0">
      <w:pPr>
        <w:widowControl/>
        <w:autoSpaceDE/>
        <w:autoSpaceDN/>
        <w:adjustRightInd/>
        <w:spacing w:line="276" w:lineRule="auto"/>
        <w:rPr>
          <w:rFonts w:asciiTheme="minorHAnsi" w:hAnsiTheme="minorHAnsi" w:cstheme="minorHAnsi"/>
          <w:sz w:val="22"/>
          <w:szCs w:val="22"/>
          <w:u w:val="single"/>
          <w:lang w:val="fr-FR"/>
        </w:rPr>
      </w:pPr>
    </w:p>
    <w:tbl>
      <w:tblPr>
        <w:tblStyle w:val="Tabelraster"/>
        <w:tblW w:w="10207" w:type="dxa"/>
        <w:tblInd w:w="-147" w:type="dxa"/>
        <w:tblLayout w:type="fixed"/>
        <w:tblLook w:val="04A0" w:firstRow="1" w:lastRow="0" w:firstColumn="1" w:lastColumn="0" w:noHBand="0" w:noVBand="1"/>
      </w:tblPr>
      <w:tblGrid>
        <w:gridCol w:w="3085"/>
        <w:gridCol w:w="1843"/>
        <w:gridCol w:w="5279"/>
      </w:tblGrid>
      <w:tr w:rsidR="00AB0DB0" w:rsidRPr="00BF2D66" w14:paraId="00D79059" w14:textId="77777777" w:rsidTr="00B8494E">
        <w:trPr>
          <w:trHeight w:val="283"/>
        </w:trPr>
        <w:tc>
          <w:tcPr>
            <w:tcW w:w="3085" w:type="dxa"/>
          </w:tcPr>
          <w:p w14:paraId="4EF65B39"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Description</w:t>
            </w:r>
          </w:p>
        </w:tc>
        <w:tc>
          <w:tcPr>
            <w:tcW w:w="1843" w:type="dxa"/>
          </w:tcPr>
          <w:p w14:paraId="5C16732C"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44D342D" w14:textId="748A7300"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Dalle de tapis à </w:t>
            </w:r>
            <w:r w:rsidRPr="008939C4">
              <w:rPr>
                <w:rFonts w:asciiTheme="minorHAnsi" w:hAnsiTheme="minorHAnsi" w:cstheme="minorHAnsi"/>
                <w:color w:val="000000"/>
                <w:sz w:val="22"/>
                <w:szCs w:val="22"/>
                <w:lang w:val="fr-FR"/>
              </w:rPr>
              <w:t>poils bouclés texturés</w:t>
            </w:r>
          </w:p>
        </w:tc>
      </w:tr>
      <w:tr w:rsidR="00AB0DB0" w:rsidRPr="00BF2D66" w14:paraId="19F21C5C" w14:textId="77777777" w:rsidTr="00B8494E">
        <w:trPr>
          <w:trHeight w:val="283"/>
        </w:trPr>
        <w:tc>
          <w:tcPr>
            <w:tcW w:w="3085" w:type="dxa"/>
          </w:tcPr>
          <w:p w14:paraId="68C94C5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Dimension</w:t>
            </w:r>
          </w:p>
        </w:tc>
        <w:tc>
          <w:tcPr>
            <w:tcW w:w="1843" w:type="dxa"/>
          </w:tcPr>
          <w:p w14:paraId="0D81C327"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994</w:t>
            </w:r>
          </w:p>
        </w:tc>
        <w:tc>
          <w:tcPr>
            <w:tcW w:w="5279" w:type="dxa"/>
          </w:tcPr>
          <w:p w14:paraId="46287A8C"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50 x 50 cm</w:t>
            </w:r>
          </w:p>
        </w:tc>
      </w:tr>
      <w:tr w:rsidR="00AB0DB0" w:rsidRPr="00BF2D66" w14:paraId="21C6B2C9" w14:textId="77777777" w:rsidTr="00B8494E">
        <w:trPr>
          <w:trHeight w:val="283"/>
        </w:trPr>
        <w:tc>
          <w:tcPr>
            <w:tcW w:w="3085" w:type="dxa"/>
          </w:tcPr>
          <w:p w14:paraId="7836C48B"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Épaisseur totale</w:t>
            </w:r>
          </w:p>
        </w:tc>
        <w:tc>
          <w:tcPr>
            <w:tcW w:w="1843" w:type="dxa"/>
          </w:tcPr>
          <w:p w14:paraId="681F0181" w14:textId="77777777" w:rsidR="00AB0DB0" w:rsidRPr="00451398" w:rsidRDefault="00AB0DB0" w:rsidP="00C422A0">
            <w:pPr>
              <w:widowControl/>
              <w:autoSpaceDE/>
              <w:autoSpaceDN/>
              <w:adjustRightInd/>
              <w:spacing w:line="276" w:lineRule="auto"/>
              <w:rPr>
                <w:rFonts w:asciiTheme="minorHAnsi" w:hAnsiTheme="minorHAnsi" w:cstheme="minorHAnsi"/>
                <w:sz w:val="22"/>
                <w:szCs w:val="22"/>
                <w:lang w:val="fr-FR"/>
              </w:rPr>
            </w:pPr>
            <w:r w:rsidRPr="00451398">
              <w:rPr>
                <w:rFonts w:asciiTheme="minorHAnsi" w:hAnsiTheme="minorHAnsi" w:cstheme="minorHAnsi"/>
                <w:sz w:val="22"/>
                <w:szCs w:val="22"/>
                <w:lang w:val="fr-FR"/>
              </w:rPr>
              <w:t>ISO 1765</w:t>
            </w:r>
          </w:p>
        </w:tc>
        <w:tc>
          <w:tcPr>
            <w:tcW w:w="5279" w:type="dxa"/>
          </w:tcPr>
          <w:p w14:paraId="08899931" w14:textId="5C21A8E3" w:rsidR="00AB0DB0" w:rsidRPr="00BF2D66" w:rsidRDefault="00975B79" w:rsidP="00C422A0">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6,4</w:t>
            </w:r>
            <w:r w:rsidR="00AB0DB0" w:rsidRPr="00BF2D66">
              <w:rPr>
                <w:rFonts w:asciiTheme="minorHAnsi" w:hAnsiTheme="minorHAnsi" w:cstheme="minorHAnsi"/>
                <w:color w:val="000000"/>
                <w:sz w:val="22"/>
                <w:szCs w:val="22"/>
                <w:lang w:val="fr-FR"/>
              </w:rPr>
              <w:t xml:space="preserve"> mm</w:t>
            </w:r>
          </w:p>
        </w:tc>
      </w:tr>
      <w:tr w:rsidR="00AB0DB0" w:rsidRPr="00BF2D66" w14:paraId="578985CE" w14:textId="77777777" w:rsidTr="00B8494E">
        <w:trPr>
          <w:trHeight w:val="283"/>
        </w:trPr>
        <w:tc>
          <w:tcPr>
            <w:tcW w:w="3085" w:type="dxa"/>
          </w:tcPr>
          <w:p w14:paraId="5EC59585"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Épaisseur du velours</w:t>
            </w:r>
          </w:p>
        </w:tc>
        <w:tc>
          <w:tcPr>
            <w:tcW w:w="1843" w:type="dxa"/>
          </w:tcPr>
          <w:p w14:paraId="5D05FA9D" w14:textId="77777777" w:rsidR="00AB0DB0" w:rsidRPr="00451398" w:rsidRDefault="00AB0DB0" w:rsidP="00C422A0">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ISO 1766</w:t>
            </w:r>
          </w:p>
        </w:tc>
        <w:tc>
          <w:tcPr>
            <w:tcW w:w="5279" w:type="dxa"/>
          </w:tcPr>
          <w:p w14:paraId="496C3712" w14:textId="6E6BDD8E" w:rsidR="00AB0DB0" w:rsidRPr="00BF2D66" w:rsidRDefault="00C208F0" w:rsidP="00C422A0">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3</w:t>
            </w:r>
            <w:r w:rsidR="00AB0DB0">
              <w:rPr>
                <w:rFonts w:asciiTheme="minorHAnsi" w:hAnsiTheme="minorHAnsi" w:cstheme="minorHAnsi"/>
                <w:sz w:val="22"/>
                <w:szCs w:val="22"/>
                <w:lang w:val="fr-FR"/>
              </w:rPr>
              <w:t>,</w:t>
            </w:r>
            <w:r w:rsidR="00F15FCD">
              <w:rPr>
                <w:rFonts w:asciiTheme="minorHAnsi" w:hAnsiTheme="minorHAnsi" w:cstheme="minorHAnsi"/>
                <w:sz w:val="22"/>
                <w:szCs w:val="22"/>
                <w:lang w:val="fr-FR"/>
              </w:rPr>
              <w:t>5</w:t>
            </w:r>
            <w:r w:rsidR="00AB0DB0" w:rsidRPr="00BF2D66">
              <w:rPr>
                <w:rFonts w:asciiTheme="minorHAnsi" w:hAnsiTheme="minorHAnsi" w:cstheme="minorHAnsi"/>
                <w:sz w:val="22"/>
                <w:szCs w:val="22"/>
                <w:lang w:val="fr-FR"/>
              </w:rPr>
              <w:t xml:space="preserve"> mm</w:t>
            </w:r>
          </w:p>
        </w:tc>
      </w:tr>
      <w:tr w:rsidR="00AB0DB0" w:rsidRPr="00BF2D66" w14:paraId="16823138" w14:textId="77777777" w:rsidTr="00B8494E">
        <w:trPr>
          <w:trHeight w:val="283"/>
        </w:trPr>
        <w:tc>
          <w:tcPr>
            <w:tcW w:w="3085" w:type="dxa"/>
          </w:tcPr>
          <w:p w14:paraId="51DF08A0"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Nombre de références</w:t>
            </w:r>
          </w:p>
        </w:tc>
        <w:tc>
          <w:tcPr>
            <w:tcW w:w="1843" w:type="dxa"/>
          </w:tcPr>
          <w:p w14:paraId="745AC554"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p>
        </w:tc>
        <w:tc>
          <w:tcPr>
            <w:tcW w:w="5279" w:type="dxa"/>
          </w:tcPr>
          <w:p w14:paraId="5951143C" w14:textId="4C1DAE0D" w:rsidR="00AB0DB0" w:rsidRPr="00BF2D66" w:rsidRDefault="00F15FCD" w:rsidP="00C422A0">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24</w:t>
            </w:r>
            <w:r w:rsidR="00AB0DB0" w:rsidRPr="00BF2D66">
              <w:rPr>
                <w:rFonts w:asciiTheme="minorHAnsi" w:hAnsiTheme="minorHAnsi" w:cstheme="minorHAnsi"/>
                <w:sz w:val="22"/>
                <w:szCs w:val="22"/>
                <w:lang w:val="fr-FR"/>
              </w:rPr>
              <w:t xml:space="preserve"> coloris </w:t>
            </w:r>
            <w:r w:rsidR="00AB0DB0">
              <w:rPr>
                <w:rFonts w:asciiTheme="minorHAnsi" w:hAnsiTheme="minorHAnsi" w:cstheme="minorHAnsi"/>
                <w:sz w:val="22"/>
                <w:szCs w:val="22"/>
                <w:lang w:val="fr-FR"/>
              </w:rPr>
              <w:t xml:space="preserve">(4 </w:t>
            </w:r>
            <w:r w:rsidR="00AB0DB0" w:rsidRPr="00BF2D66">
              <w:rPr>
                <w:rFonts w:asciiTheme="minorHAnsi" w:hAnsiTheme="minorHAnsi" w:cstheme="minorHAnsi"/>
                <w:sz w:val="22"/>
                <w:szCs w:val="22"/>
                <w:lang w:val="fr-FR"/>
              </w:rPr>
              <w:t xml:space="preserve">m² par </w:t>
            </w:r>
            <w:r w:rsidR="00AB0DB0">
              <w:rPr>
                <w:rFonts w:asciiTheme="minorHAnsi" w:hAnsiTheme="minorHAnsi" w:cstheme="minorHAnsi"/>
                <w:sz w:val="22"/>
                <w:szCs w:val="22"/>
                <w:lang w:val="fr-FR"/>
              </w:rPr>
              <w:t>boîte)</w:t>
            </w:r>
          </w:p>
        </w:tc>
      </w:tr>
      <w:tr w:rsidR="00AB0DB0" w:rsidRPr="00BF2D66" w14:paraId="5C7DBE0B" w14:textId="77777777" w:rsidTr="00B8494E">
        <w:trPr>
          <w:trHeight w:val="283"/>
        </w:trPr>
        <w:tc>
          <w:tcPr>
            <w:tcW w:w="3085" w:type="dxa"/>
          </w:tcPr>
          <w:p w14:paraId="1BA6E8A5"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Classification</w:t>
            </w:r>
          </w:p>
        </w:tc>
        <w:tc>
          <w:tcPr>
            <w:tcW w:w="1843" w:type="dxa"/>
          </w:tcPr>
          <w:p w14:paraId="6D37B75D"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ISO 10874</w:t>
            </w:r>
          </w:p>
        </w:tc>
        <w:tc>
          <w:tcPr>
            <w:tcW w:w="5279" w:type="dxa"/>
          </w:tcPr>
          <w:p w14:paraId="0D82582F"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Classe 33</w:t>
            </w:r>
          </w:p>
        </w:tc>
      </w:tr>
      <w:tr w:rsidR="00AB0DB0" w:rsidRPr="00BF2D66" w14:paraId="1E5D33B7" w14:textId="77777777" w:rsidTr="00B8494E">
        <w:trPr>
          <w:trHeight w:val="283"/>
        </w:trPr>
        <w:tc>
          <w:tcPr>
            <w:tcW w:w="3085" w:type="dxa"/>
          </w:tcPr>
          <w:p w14:paraId="5EF083F6" w14:textId="77777777" w:rsidR="00AB0DB0" w:rsidRDefault="00AB0DB0" w:rsidP="00C422A0">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Classification luxe</w:t>
            </w:r>
          </w:p>
        </w:tc>
        <w:tc>
          <w:tcPr>
            <w:tcW w:w="1843" w:type="dxa"/>
          </w:tcPr>
          <w:p w14:paraId="4C0357A6"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1307</w:t>
            </w:r>
          </w:p>
        </w:tc>
        <w:tc>
          <w:tcPr>
            <w:tcW w:w="5279" w:type="dxa"/>
          </w:tcPr>
          <w:p w14:paraId="374648A2" w14:textId="222EED3C"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LC</w:t>
            </w:r>
            <w:r w:rsidR="00F15FCD">
              <w:rPr>
                <w:rFonts w:asciiTheme="minorHAnsi" w:hAnsiTheme="minorHAnsi" w:cstheme="minorHAnsi"/>
                <w:color w:val="000000"/>
                <w:sz w:val="22"/>
                <w:szCs w:val="22"/>
                <w:lang w:val="fr-FR"/>
              </w:rPr>
              <w:t>2</w:t>
            </w:r>
          </w:p>
        </w:tc>
      </w:tr>
      <w:tr w:rsidR="00AB0DB0" w:rsidRPr="00BF2D66" w14:paraId="39732EC1" w14:textId="77777777" w:rsidTr="00B8494E">
        <w:trPr>
          <w:trHeight w:val="283"/>
        </w:trPr>
        <w:tc>
          <w:tcPr>
            <w:tcW w:w="3085" w:type="dxa"/>
          </w:tcPr>
          <w:p w14:paraId="7895A42E"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Matière du velours</w:t>
            </w:r>
          </w:p>
        </w:tc>
        <w:tc>
          <w:tcPr>
            <w:tcW w:w="1843" w:type="dxa"/>
          </w:tcPr>
          <w:p w14:paraId="1FC87B77"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935365B" w14:textId="6BD10BB3" w:rsidR="00AB0DB0" w:rsidRPr="00BE4C33" w:rsidRDefault="00AB0DB0" w:rsidP="00C422A0">
            <w:pPr>
              <w:pStyle w:val="TxBrp4"/>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100</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xml:space="preserve">% </w:t>
            </w:r>
            <w:r w:rsidR="00F15FCD">
              <w:rPr>
                <w:rFonts w:asciiTheme="minorHAnsi" w:hAnsiTheme="minorHAnsi" w:cstheme="minorHAnsi"/>
                <w:color w:val="000000"/>
                <w:sz w:val="22"/>
                <w:szCs w:val="22"/>
                <w:lang w:val="fr-FR"/>
              </w:rPr>
              <w:t xml:space="preserve">Econyl regenerated </w:t>
            </w:r>
            <w:r w:rsidRPr="00BF2D66">
              <w:rPr>
                <w:rFonts w:asciiTheme="minorHAnsi" w:hAnsiTheme="minorHAnsi" w:cstheme="minorHAnsi"/>
                <w:sz w:val="22"/>
                <w:szCs w:val="22"/>
                <w:lang w:val="fr-FR"/>
              </w:rPr>
              <w:t>polyamide</w:t>
            </w:r>
            <w:r>
              <w:rPr>
                <w:rFonts w:asciiTheme="minorHAnsi" w:hAnsiTheme="minorHAnsi" w:cstheme="minorHAnsi"/>
                <w:sz w:val="22"/>
                <w:szCs w:val="22"/>
                <w:lang w:val="fr-FR"/>
              </w:rPr>
              <w:t xml:space="preserve"> 6</w:t>
            </w:r>
            <w:r w:rsidRPr="00BF2D66">
              <w:rPr>
                <w:rFonts w:asciiTheme="minorHAnsi" w:hAnsiTheme="minorHAnsi" w:cstheme="minorHAnsi"/>
                <w:sz w:val="22"/>
                <w:szCs w:val="22"/>
                <w:lang w:val="fr-FR"/>
              </w:rPr>
              <w:t xml:space="preserve"> </w:t>
            </w:r>
          </w:p>
        </w:tc>
      </w:tr>
      <w:tr w:rsidR="00AB0DB0" w:rsidRPr="00BF2D66" w14:paraId="135EBF42" w14:textId="77777777" w:rsidTr="00B8494E">
        <w:trPr>
          <w:trHeight w:val="283"/>
        </w:trPr>
        <w:tc>
          <w:tcPr>
            <w:tcW w:w="3085" w:type="dxa"/>
          </w:tcPr>
          <w:p w14:paraId="12D578F5"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Méthode de teinture</w:t>
            </w:r>
          </w:p>
        </w:tc>
        <w:tc>
          <w:tcPr>
            <w:tcW w:w="1843" w:type="dxa"/>
          </w:tcPr>
          <w:p w14:paraId="228E167D"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400177D3"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100</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s</w:t>
            </w:r>
            <w:r>
              <w:rPr>
                <w:rFonts w:asciiTheme="minorHAnsi" w:hAnsiTheme="minorHAnsi" w:cstheme="minorHAnsi"/>
                <w:color w:val="000000"/>
                <w:sz w:val="22"/>
                <w:szCs w:val="22"/>
                <w:lang w:val="fr-FR"/>
              </w:rPr>
              <w:t>olution</w:t>
            </w:r>
            <w:r w:rsidRPr="00BF2D66">
              <w:rPr>
                <w:rFonts w:asciiTheme="minorHAnsi" w:hAnsiTheme="minorHAnsi" w:cstheme="minorHAnsi"/>
                <w:color w:val="000000"/>
                <w:sz w:val="22"/>
                <w:szCs w:val="22"/>
                <w:lang w:val="fr-FR"/>
              </w:rPr>
              <w:t xml:space="preserve"> dyed</w:t>
            </w:r>
          </w:p>
        </w:tc>
      </w:tr>
      <w:tr w:rsidR="00AB0DB0" w:rsidRPr="00BF2D66" w14:paraId="1A409F93" w14:textId="77777777" w:rsidTr="00B8494E">
        <w:trPr>
          <w:trHeight w:val="283"/>
        </w:trPr>
        <w:tc>
          <w:tcPr>
            <w:tcW w:w="3085" w:type="dxa"/>
          </w:tcPr>
          <w:p w14:paraId="34DC0624"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Densité du velours</w:t>
            </w:r>
          </w:p>
        </w:tc>
        <w:tc>
          <w:tcPr>
            <w:tcW w:w="1843" w:type="dxa"/>
          </w:tcPr>
          <w:p w14:paraId="77E471A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1763</w:t>
            </w:r>
          </w:p>
        </w:tc>
        <w:tc>
          <w:tcPr>
            <w:tcW w:w="5279" w:type="dxa"/>
          </w:tcPr>
          <w:p w14:paraId="11E85CE6" w14:textId="600D96FF" w:rsidR="00AB0DB0" w:rsidRPr="00BF2D66" w:rsidRDefault="00F15FCD"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94.464</w:t>
            </w:r>
            <w:r w:rsidR="00AB0DB0">
              <w:rPr>
                <w:rFonts w:asciiTheme="minorHAnsi" w:hAnsiTheme="minorHAnsi" w:cstheme="minorHAnsi"/>
                <w:color w:val="000000"/>
                <w:sz w:val="22"/>
                <w:szCs w:val="22"/>
                <w:lang w:val="fr-FR"/>
              </w:rPr>
              <w:t xml:space="preserve"> par </w:t>
            </w:r>
            <w:r w:rsidR="00AB0DB0" w:rsidRPr="00BF2D66">
              <w:rPr>
                <w:rFonts w:asciiTheme="minorHAnsi" w:hAnsiTheme="minorHAnsi" w:cstheme="minorHAnsi"/>
                <w:color w:val="000000"/>
                <w:sz w:val="22"/>
                <w:szCs w:val="22"/>
                <w:lang w:val="fr-FR"/>
              </w:rPr>
              <w:t>m</w:t>
            </w:r>
            <w:r w:rsidR="00EA7871">
              <w:rPr>
                <w:rFonts w:asciiTheme="minorHAnsi" w:hAnsiTheme="minorHAnsi" w:cstheme="minorHAnsi"/>
                <w:color w:val="000000"/>
                <w:sz w:val="22"/>
                <w:szCs w:val="22"/>
                <w:lang w:val="fr-FR"/>
              </w:rPr>
              <w:t>²</w:t>
            </w:r>
          </w:p>
        </w:tc>
      </w:tr>
      <w:tr w:rsidR="00AB0DB0" w:rsidRPr="00BF2D66" w14:paraId="2473BC4C" w14:textId="77777777" w:rsidTr="00B8494E">
        <w:trPr>
          <w:trHeight w:val="283"/>
        </w:trPr>
        <w:tc>
          <w:tcPr>
            <w:tcW w:w="3085" w:type="dxa"/>
          </w:tcPr>
          <w:p w14:paraId="3C3690D6"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du velours</w:t>
            </w:r>
          </w:p>
        </w:tc>
        <w:tc>
          <w:tcPr>
            <w:tcW w:w="1843" w:type="dxa"/>
          </w:tcPr>
          <w:p w14:paraId="145F31B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279" w:type="dxa"/>
          </w:tcPr>
          <w:p w14:paraId="230225E0" w14:textId="6D52318B" w:rsidR="00AB0DB0" w:rsidRPr="00BF2D66" w:rsidRDefault="00D334AF"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7</w:t>
            </w:r>
            <w:r w:rsidR="00F15FCD">
              <w:rPr>
                <w:rFonts w:asciiTheme="minorHAnsi" w:hAnsiTheme="minorHAnsi" w:cstheme="minorHAnsi"/>
                <w:color w:val="000000"/>
                <w:sz w:val="22"/>
                <w:szCs w:val="22"/>
                <w:lang w:val="fr-FR"/>
              </w:rPr>
              <w:t>5</w:t>
            </w:r>
            <w:r>
              <w:rPr>
                <w:rFonts w:asciiTheme="minorHAnsi" w:hAnsiTheme="minorHAnsi" w:cstheme="minorHAnsi"/>
                <w:color w:val="000000"/>
                <w:sz w:val="22"/>
                <w:szCs w:val="22"/>
                <w:lang w:val="fr-FR"/>
              </w:rPr>
              <w:t>0</w:t>
            </w:r>
            <w:r w:rsidR="00AB0DB0" w:rsidRPr="00BF2D66">
              <w:rPr>
                <w:rFonts w:asciiTheme="minorHAnsi" w:hAnsiTheme="minorHAnsi" w:cstheme="minorHAnsi"/>
                <w:color w:val="000000"/>
                <w:sz w:val="22"/>
                <w:szCs w:val="22"/>
                <w:lang w:val="fr-FR"/>
              </w:rPr>
              <w:t xml:space="preserve"> g</w:t>
            </w:r>
            <w:r w:rsidR="00AB0DB0">
              <w:rPr>
                <w:rFonts w:asciiTheme="minorHAnsi" w:hAnsiTheme="minorHAnsi" w:cstheme="minorHAnsi"/>
                <w:color w:val="000000"/>
                <w:sz w:val="22"/>
                <w:szCs w:val="22"/>
                <w:lang w:val="fr-FR"/>
              </w:rPr>
              <w:t>/m²</w:t>
            </w:r>
          </w:p>
        </w:tc>
      </w:tr>
      <w:tr w:rsidR="00AB0DB0" w:rsidRPr="00BF2D66" w14:paraId="207BEAB6" w14:textId="77777777" w:rsidTr="00B8494E">
        <w:trPr>
          <w:trHeight w:val="283"/>
        </w:trPr>
        <w:tc>
          <w:tcPr>
            <w:tcW w:w="3085" w:type="dxa"/>
          </w:tcPr>
          <w:p w14:paraId="784C4101"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total</w:t>
            </w:r>
          </w:p>
        </w:tc>
        <w:tc>
          <w:tcPr>
            <w:tcW w:w="1843" w:type="dxa"/>
          </w:tcPr>
          <w:p w14:paraId="2066B5C8"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279" w:type="dxa"/>
          </w:tcPr>
          <w:p w14:paraId="1F587B39" w14:textId="55360DD8"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4.</w:t>
            </w:r>
            <w:r w:rsidR="00733DBE">
              <w:rPr>
                <w:rFonts w:asciiTheme="minorHAnsi" w:hAnsiTheme="minorHAnsi" w:cstheme="minorHAnsi"/>
                <w:color w:val="000000"/>
                <w:sz w:val="22"/>
                <w:szCs w:val="22"/>
                <w:lang w:val="fr-FR"/>
              </w:rPr>
              <w:t xml:space="preserve">065 </w:t>
            </w:r>
            <w:r w:rsidRPr="00BF2D66">
              <w:rPr>
                <w:rFonts w:asciiTheme="minorHAnsi" w:hAnsiTheme="minorHAnsi" w:cstheme="minorHAnsi"/>
                <w:color w:val="000000"/>
                <w:sz w:val="22"/>
                <w:szCs w:val="22"/>
                <w:lang w:val="fr-FR"/>
              </w:rPr>
              <w:t>g</w:t>
            </w:r>
            <w:r>
              <w:rPr>
                <w:rFonts w:asciiTheme="minorHAnsi" w:hAnsiTheme="minorHAnsi" w:cstheme="minorHAnsi"/>
                <w:color w:val="000000"/>
                <w:sz w:val="22"/>
                <w:szCs w:val="22"/>
                <w:lang w:val="fr-FR"/>
              </w:rPr>
              <w:t>/</w:t>
            </w:r>
            <w:r w:rsidRPr="00BF2D66">
              <w:rPr>
                <w:rFonts w:asciiTheme="minorHAnsi" w:hAnsiTheme="minorHAnsi" w:cstheme="minorHAnsi"/>
                <w:color w:val="000000"/>
                <w:sz w:val="22"/>
                <w:szCs w:val="22"/>
                <w:lang w:val="fr-FR"/>
              </w:rPr>
              <w:t>m</w:t>
            </w:r>
            <w:r>
              <w:rPr>
                <w:rFonts w:asciiTheme="minorHAnsi" w:hAnsiTheme="minorHAnsi" w:cstheme="minorHAnsi"/>
                <w:color w:val="000000"/>
                <w:sz w:val="22"/>
                <w:szCs w:val="22"/>
                <w:lang w:val="fr-FR"/>
              </w:rPr>
              <w:t>²</w:t>
            </w:r>
          </w:p>
        </w:tc>
      </w:tr>
      <w:tr w:rsidR="00AB0DB0" w:rsidRPr="00BF2D66" w14:paraId="4C9317F7" w14:textId="77777777" w:rsidTr="00B8494E">
        <w:trPr>
          <w:trHeight w:val="283"/>
        </w:trPr>
        <w:tc>
          <w:tcPr>
            <w:tcW w:w="3085" w:type="dxa"/>
          </w:tcPr>
          <w:p w14:paraId="4CE81A03"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Support</w:t>
            </w:r>
          </w:p>
        </w:tc>
        <w:tc>
          <w:tcPr>
            <w:tcW w:w="1843" w:type="dxa"/>
          </w:tcPr>
          <w:p w14:paraId="7F3AD36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EN-ISO 23997</w:t>
            </w:r>
          </w:p>
        </w:tc>
        <w:tc>
          <w:tcPr>
            <w:tcW w:w="5279" w:type="dxa"/>
          </w:tcPr>
          <w:p w14:paraId="0ECC3ED5"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P</w:t>
            </w:r>
            <w:r w:rsidRPr="00BF2D66">
              <w:rPr>
                <w:rFonts w:asciiTheme="minorHAnsi" w:hAnsiTheme="minorHAnsi" w:cstheme="minorHAnsi"/>
                <w:color w:val="000000"/>
                <w:sz w:val="22"/>
                <w:szCs w:val="22"/>
                <w:lang w:val="fr-FR"/>
              </w:rPr>
              <w:t>olyester</w:t>
            </w:r>
          </w:p>
        </w:tc>
      </w:tr>
      <w:tr w:rsidR="00AB0DB0" w:rsidRPr="00BF2D66" w14:paraId="7518CF05" w14:textId="77777777" w:rsidTr="00B8494E">
        <w:trPr>
          <w:trHeight w:val="283"/>
        </w:trPr>
        <w:tc>
          <w:tcPr>
            <w:tcW w:w="3085" w:type="dxa"/>
          </w:tcPr>
          <w:p w14:paraId="420B4D7A"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Dossier</w:t>
            </w:r>
          </w:p>
        </w:tc>
        <w:tc>
          <w:tcPr>
            <w:tcW w:w="1843" w:type="dxa"/>
          </w:tcPr>
          <w:p w14:paraId="46A806A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3713290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Probac remplisseur minéral </w:t>
            </w:r>
            <w:r>
              <w:rPr>
                <w:rFonts w:asciiTheme="minorHAnsi" w:hAnsiTheme="minorHAnsi" w:cstheme="minorHAnsi"/>
                <w:color w:val="000000"/>
                <w:sz w:val="22"/>
                <w:szCs w:val="22"/>
                <w:lang w:val="fr-FR"/>
              </w:rPr>
              <w:t xml:space="preserve">recyclé </w:t>
            </w:r>
            <w:r w:rsidRPr="00BF2D66">
              <w:rPr>
                <w:rFonts w:asciiTheme="minorHAnsi" w:hAnsiTheme="minorHAnsi" w:cstheme="minorHAnsi"/>
                <w:color w:val="000000"/>
                <w:sz w:val="22"/>
                <w:szCs w:val="22"/>
                <w:lang w:val="fr-FR"/>
              </w:rPr>
              <w:t xml:space="preserve">avec un faible montant de bitume modifié et </w:t>
            </w:r>
            <w:r>
              <w:rPr>
                <w:rFonts w:asciiTheme="minorHAnsi" w:hAnsiTheme="minorHAnsi" w:cstheme="minorHAnsi"/>
                <w:color w:val="000000"/>
                <w:sz w:val="22"/>
                <w:szCs w:val="22"/>
                <w:lang w:val="fr-FR"/>
              </w:rPr>
              <w:t xml:space="preserve">un tissu en </w:t>
            </w:r>
            <w:r w:rsidRPr="00BF2D66">
              <w:rPr>
                <w:rFonts w:asciiTheme="minorHAnsi" w:hAnsiTheme="minorHAnsi" w:cstheme="minorHAnsi"/>
                <w:color w:val="000000"/>
                <w:sz w:val="22"/>
                <w:szCs w:val="22"/>
                <w:lang w:val="fr-FR"/>
              </w:rPr>
              <w:t>polyester</w:t>
            </w:r>
            <w:r>
              <w:rPr>
                <w:rFonts w:asciiTheme="minorHAnsi" w:hAnsiTheme="minorHAnsi" w:cstheme="minorHAnsi"/>
                <w:color w:val="000000"/>
                <w:sz w:val="22"/>
                <w:szCs w:val="22"/>
                <w:lang w:val="fr-FR"/>
              </w:rPr>
              <w:t>.  C</w:t>
            </w:r>
            <w:r w:rsidRPr="00BF2D66">
              <w:rPr>
                <w:rFonts w:asciiTheme="minorHAnsi" w:hAnsiTheme="minorHAnsi" w:cstheme="minorHAnsi"/>
                <w:color w:val="000000"/>
                <w:sz w:val="22"/>
                <w:szCs w:val="22"/>
                <w:lang w:val="fr-FR"/>
              </w:rPr>
              <w:t>ontient plus que 76</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de continue recyclé.</w:t>
            </w:r>
          </w:p>
        </w:tc>
      </w:tr>
      <w:tr w:rsidR="00AB0DB0" w:rsidRPr="00BF2D66" w14:paraId="10F328B6" w14:textId="77777777" w:rsidTr="00B8494E">
        <w:trPr>
          <w:trHeight w:val="283"/>
        </w:trPr>
        <w:tc>
          <w:tcPr>
            <w:tcW w:w="3085" w:type="dxa"/>
          </w:tcPr>
          <w:p w14:paraId="53CAF3D8"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Résistance à la chaise à roulettes</w:t>
            </w:r>
          </w:p>
        </w:tc>
        <w:tc>
          <w:tcPr>
            <w:tcW w:w="1843" w:type="dxa"/>
          </w:tcPr>
          <w:p w14:paraId="2BF97738"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EN985</w:t>
            </w:r>
          </w:p>
        </w:tc>
        <w:tc>
          <w:tcPr>
            <w:tcW w:w="5279" w:type="dxa"/>
          </w:tcPr>
          <w:p w14:paraId="1C5F5957"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r</w:t>
            </w:r>
            <w:r w:rsidRPr="00BF2D66">
              <w:rPr>
                <w:rFonts w:asciiTheme="minorHAnsi" w:hAnsiTheme="minorHAnsi" w:cstheme="minorHAnsi"/>
                <w:sz w:val="22"/>
                <w:szCs w:val="22"/>
                <w:lang w:val="fr-FR"/>
              </w:rPr>
              <w:t xml:space="preserve"> ≥ 2,4</w:t>
            </w:r>
            <w:r>
              <w:rPr>
                <w:rFonts w:asciiTheme="minorHAnsi" w:hAnsiTheme="minorHAnsi" w:cstheme="minorHAnsi"/>
                <w:sz w:val="22"/>
                <w:szCs w:val="22"/>
                <w:lang w:val="fr-FR"/>
              </w:rPr>
              <w:t xml:space="preserve"> – Classe A (utilisage intensif)</w:t>
            </w:r>
          </w:p>
        </w:tc>
      </w:tr>
      <w:tr w:rsidR="00AB0DB0" w:rsidRPr="00BF2D66" w14:paraId="59EA9647" w14:textId="77777777" w:rsidTr="00B8494E">
        <w:trPr>
          <w:trHeight w:val="283"/>
        </w:trPr>
        <w:tc>
          <w:tcPr>
            <w:tcW w:w="3085" w:type="dxa"/>
          </w:tcPr>
          <w:p w14:paraId="5B6D9A3E"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Solidité des couleurs à la lumière</w:t>
            </w:r>
          </w:p>
        </w:tc>
        <w:tc>
          <w:tcPr>
            <w:tcW w:w="1843" w:type="dxa"/>
          </w:tcPr>
          <w:p w14:paraId="16C32B58"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 ISO 105 B02</w:t>
            </w:r>
          </w:p>
        </w:tc>
        <w:tc>
          <w:tcPr>
            <w:tcW w:w="5279" w:type="dxa"/>
          </w:tcPr>
          <w:p w14:paraId="58629B3F" w14:textId="4E92C6F3"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 xml:space="preserve">≥ </w:t>
            </w:r>
            <w:r w:rsidR="00DB7DC4">
              <w:rPr>
                <w:rFonts w:asciiTheme="minorHAnsi" w:hAnsiTheme="minorHAnsi" w:cstheme="minorHAnsi"/>
                <w:sz w:val="22"/>
                <w:szCs w:val="22"/>
                <w:lang w:val="fr-FR"/>
              </w:rPr>
              <w:t>6</w:t>
            </w:r>
          </w:p>
        </w:tc>
      </w:tr>
      <w:tr w:rsidR="00AB0DB0" w:rsidRPr="00BF2D66" w14:paraId="400EF293" w14:textId="77777777" w:rsidTr="00B8494E">
        <w:trPr>
          <w:trHeight w:val="283"/>
        </w:trPr>
        <w:tc>
          <w:tcPr>
            <w:tcW w:w="3085" w:type="dxa"/>
          </w:tcPr>
          <w:p w14:paraId="17940C3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Stabilité dimensionnelle</w:t>
            </w:r>
          </w:p>
        </w:tc>
        <w:tc>
          <w:tcPr>
            <w:tcW w:w="1843" w:type="dxa"/>
          </w:tcPr>
          <w:p w14:paraId="25A48AF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BS EN 986</w:t>
            </w:r>
          </w:p>
        </w:tc>
        <w:tc>
          <w:tcPr>
            <w:tcW w:w="5279" w:type="dxa"/>
          </w:tcPr>
          <w:p w14:paraId="347322E8"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0,2</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w:t>
            </w:r>
          </w:p>
        </w:tc>
      </w:tr>
      <w:tr w:rsidR="00AB0DB0" w:rsidRPr="00BF2D66" w14:paraId="034317B4" w14:textId="77777777" w:rsidTr="00B8494E">
        <w:trPr>
          <w:trHeight w:val="283"/>
        </w:trPr>
        <w:tc>
          <w:tcPr>
            <w:tcW w:w="3085" w:type="dxa"/>
          </w:tcPr>
          <w:p w14:paraId="187CD88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Réduction des bruits d’impact</w:t>
            </w:r>
          </w:p>
        </w:tc>
        <w:tc>
          <w:tcPr>
            <w:tcW w:w="1843" w:type="dxa"/>
          </w:tcPr>
          <w:p w14:paraId="088AA44F"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ISO</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10140-3</w:t>
            </w:r>
            <w:r>
              <w:rPr>
                <w:rFonts w:asciiTheme="minorHAnsi" w:hAnsiTheme="minorHAnsi" w:cstheme="minorHAnsi"/>
                <w:sz w:val="22"/>
                <w:szCs w:val="22"/>
                <w:lang w:val="fr-FR"/>
              </w:rPr>
              <w:t xml:space="preserve"> </w:t>
            </w:r>
          </w:p>
        </w:tc>
        <w:tc>
          <w:tcPr>
            <w:tcW w:w="5279" w:type="dxa"/>
          </w:tcPr>
          <w:p w14:paraId="49CE1D33" w14:textId="3288F941"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ΔLw</w:t>
            </w:r>
            <w:r w:rsidRPr="00BF2D66">
              <w:rPr>
                <w:rFonts w:asciiTheme="minorHAnsi" w:hAnsiTheme="minorHAnsi" w:cstheme="minorHAnsi"/>
                <w:color w:val="000000"/>
                <w:sz w:val="22"/>
                <w:szCs w:val="22"/>
                <w:lang w:val="fr-FR"/>
              </w:rPr>
              <w:t xml:space="preserve"> </w:t>
            </w:r>
            <w:r>
              <w:rPr>
                <w:rFonts w:asciiTheme="minorHAnsi" w:hAnsiTheme="minorHAnsi" w:cstheme="minorHAnsi"/>
                <w:color w:val="000000"/>
                <w:sz w:val="22"/>
                <w:szCs w:val="22"/>
                <w:lang w:val="fr-FR"/>
              </w:rPr>
              <w:t>=</w:t>
            </w:r>
            <w:r w:rsidR="00DB7DC4">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2</w:t>
            </w:r>
            <w:r w:rsidR="00733DBE">
              <w:rPr>
                <w:rFonts w:asciiTheme="minorHAnsi" w:hAnsiTheme="minorHAnsi" w:cstheme="minorHAnsi"/>
                <w:color w:val="000000"/>
                <w:sz w:val="22"/>
                <w:szCs w:val="22"/>
                <w:lang w:val="fr-FR"/>
              </w:rPr>
              <w:t>6</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dB</w:t>
            </w:r>
          </w:p>
        </w:tc>
      </w:tr>
      <w:tr w:rsidR="00AB0DB0" w:rsidRPr="00BF2D66" w14:paraId="552E032D" w14:textId="77777777" w:rsidTr="00B8494E">
        <w:trPr>
          <w:trHeight w:val="283"/>
        </w:trPr>
        <w:tc>
          <w:tcPr>
            <w:tcW w:w="3085" w:type="dxa"/>
          </w:tcPr>
          <w:p w14:paraId="3FF116A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Absorption acoustique</w:t>
            </w:r>
          </w:p>
        </w:tc>
        <w:tc>
          <w:tcPr>
            <w:tcW w:w="1843" w:type="dxa"/>
          </w:tcPr>
          <w:p w14:paraId="1EFDE7D9" w14:textId="77777777"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En ISO 354</w:t>
            </w:r>
          </w:p>
        </w:tc>
        <w:tc>
          <w:tcPr>
            <w:tcW w:w="5279" w:type="dxa"/>
          </w:tcPr>
          <w:p w14:paraId="0DB433A5" w14:textId="122087F4" w:rsidR="00AB0DB0" w:rsidRPr="006F72AA" w:rsidRDefault="00AB0DB0" w:rsidP="00C422A0">
            <w:pPr>
              <w:widowControl/>
              <w:autoSpaceDE/>
              <w:autoSpaceDN/>
              <w:adjustRightInd/>
              <w:spacing w:line="276" w:lineRule="auto"/>
              <w:rPr>
                <w:rFonts w:asciiTheme="minorHAnsi" w:hAnsiTheme="minorHAnsi" w:cstheme="minorHAnsi"/>
                <w:sz w:val="22"/>
                <w:szCs w:val="22"/>
                <w:lang w:val="fr-FR"/>
              </w:rPr>
            </w:pPr>
            <w:r w:rsidRPr="006F72AA">
              <w:rPr>
                <w:sz w:val="22"/>
                <w:szCs w:val="22"/>
              </w:rPr>
              <w:t>αw</w:t>
            </w:r>
            <w:r w:rsidRPr="006F72AA">
              <w:rPr>
                <w:rFonts w:ascii="Calibri" w:hAnsi="Calibri" w:cs="Arial"/>
                <w:sz w:val="22"/>
                <w:szCs w:val="22"/>
                <w:lang w:val="nl-BE"/>
              </w:rPr>
              <w:t xml:space="preserve"> = 0,</w:t>
            </w:r>
            <w:r w:rsidR="00733DBE">
              <w:rPr>
                <w:rFonts w:ascii="Calibri" w:hAnsi="Calibri" w:cs="Arial"/>
                <w:sz w:val="22"/>
                <w:szCs w:val="22"/>
                <w:lang w:val="nl-BE"/>
              </w:rPr>
              <w:t>15</w:t>
            </w:r>
          </w:p>
        </w:tc>
      </w:tr>
      <w:tr w:rsidR="00AB0DB0" w:rsidRPr="00BF2D66" w14:paraId="0CD5A2D3" w14:textId="77777777" w:rsidTr="00B8494E">
        <w:trPr>
          <w:trHeight w:val="283"/>
        </w:trPr>
        <w:tc>
          <w:tcPr>
            <w:tcW w:w="3085" w:type="dxa"/>
          </w:tcPr>
          <w:p w14:paraId="613CC510" w14:textId="77777777" w:rsidR="00AB0DB0" w:rsidRPr="00BF2D66" w:rsidRDefault="00AB0DB0" w:rsidP="00C422A0">
            <w:pPr>
              <w:widowControl/>
              <w:autoSpaceDE/>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Electricité renou</w:t>
            </w:r>
            <w:r w:rsidRPr="00BF2D66">
              <w:rPr>
                <w:rFonts w:asciiTheme="minorHAnsi" w:hAnsiTheme="minorHAnsi" w:cstheme="minorHAnsi"/>
                <w:sz w:val="22"/>
                <w:szCs w:val="22"/>
                <w:lang w:val="fr-FR"/>
              </w:rPr>
              <w:t>velable</w:t>
            </w:r>
          </w:p>
        </w:tc>
        <w:tc>
          <w:tcPr>
            <w:tcW w:w="1843" w:type="dxa"/>
          </w:tcPr>
          <w:p w14:paraId="7360F058"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8F151A2" w14:textId="77777777" w:rsidR="00AB0DB0" w:rsidRPr="0027663C"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Fabrication à base d’électricité 100% verte.</w:t>
            </w:r>
          </w:p>
        </w:tc>
      </w:tr>
      <w:tr w:rsidR="00AB0DB0" w:rsidRPr="00BF2D66" w14:paraId="7A7F5120" w14:textId="77777777" w:rsidTr="00B8494E">
        <w:trPr>
          <w:trHeight w:val="283"/>
        </w:trPr>
        <w:tc>
          <w:tcPr>
            <w:tcW w:w="3085" w:type="dxa"/>
          </w:tcPr>
          <w:p w14:paraId="7AD42C80"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Matériaux recyclés </w:t>
            </w:r>
          </w:p>
        </w:tc>
        <w:tc>
          <w:tcPr>
            <w:tcW w:w="1843" w:type="dxa"/>
          </w:tcPr>
          <w:p w14:paraId="38BC1F04"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23FEA150" w14:textId="42A61632" w:rsidR="00AB0DB0" w:rsidRPr="0027663C"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27663C">
              <w:rPr>
                <w:rFonts w:asciiTheme="minorHAnsi" w:eastAsia="MyriadPro-Regular" w:hAnsiTheme="minorHAnsi" w:cstheme="minorHAnsi"/>
                <w:sz w:val="22"/>
                <w:szCs w:val="22"/>
                <w:lang w:val="fr-FR" w:bidi="ar-SA"/>
              </w:rPr>
              <w:t xml:space="preserve">Contient </w:t>
            </w:r>
            <w:r w:rsidR="00125C06">
              <w:rPr>
                <w:rFonts w:asciiTheme="minorHAnsi" w:eastAsia="MyriadPro-Regular" w:hAnsiTheme="minorHAnsi" w:cstheme="minorHAnsi"/>
                <w:sz w:val="22"/>
                <w:szCs w:val="22"/>
                <w:lang w:val="fr-FR" w:bidi="ar-SA"/>
              </w:rPr>
              <w:t>7</w:t>
            </w:r>
            <w:r w:rsidR="00733DBE">
              <w:rPr>
                <w:rFonts w:asciiTheme="minorHAnsi" w:eastAsia="MyriadPro-Regular" w:hAnsiTheme="minorHAnsi" w:cstheme="minorHAnsi"/>
                <w:sz w:val="22"/>
                <w:szCs w:val="22"/>
                <w:lang w:val="fr-FR" w:bidi="ar-SA"/>
              </w:rPr>
              <w:t>7</w:t>
            </w:r>
            <w:r w:rsidRPr="0027663C">
              <w:rPr>
                <w:rFonts w:asciiTheme="minorHAnsi" w:eastAsia="MyriadPro-Regular" w:hAnsiTheme="minorHAnsi" w:cstheme="minorHAnsi"/>
                <w:sz w:val="22"/>
                <w:szCs w:val="22"/>
                <w:lang w:val="fr-FR" w:bidi="ar-SA"/>
              </w:rPr>
              <w:t xml:space="preserve"> % de contenu recycl</w:t>
            </w:r>
            <w:r>
              <w:rPr>
                <w:rFonts w:asciiTheme="minorHAnsi" w:eastAsia="MyriadPro-Regular" w:hAnsiTheme="minorHAnsi" w:cstheme="minorHAnsi"/>
                <w:sz w:val="22"/>
                <w:szCs w:val="22"/>
                <w:lang w:val="fr-FR" w:bidi="ar-SA"/>
              </w:rPr>
              <w:t>é</w:t>
            </w:r>
            <w:r w:rsidRPr="0027663C">
              <w:rPr>
                <w:rFonts w:asciiTheme="minorHAnsi" w:eastAsia="MyriadPro-Regular" w:hAnsiTheme="minorHAnsi" w:cstheme="minorHAnsi"/>
                <w:sz w:val="22"/>
                <w:szCs w:val="22"/>
                <w:lang w:val="fr-FR" w:bidi="ar-SA"/>
              </w:rPr>
              <w:t xml:space="preserve"> par poids</w:t>
            </w:r>
            <w:r>
              <w:rPr>
                <w:rFonts w:asciiTheme="minorHAnsi" w:eastAsia="MyriadPro-Regular" w:hAnsiTheme="minorHAnsi" w:cstheme="minorHAnsi"/>
                <w:sz w:val="22"/>
                <w:szCs w:val="22"/>
                <w:lang w:val="fr-FR" w:bidi="ar-SA"/>
              </w:rPr>
              <w:t>.</w:t>
            </w:r>
          </w:p>
        </w:tc>
      </w:tr>
      <w:tr w:rsidR="00AB0DB0" w:rsidRPr="00BF2D66" w14:paraId="6E711406" w14:textId="77777777" w:rsidTr="00B8494E">
        <w:trPr>
          <w:trHeight w:val="283"/>
        </w:trPr>
        <w:tc>
          <w:tcPr>
            <w:tcW w:w="3085" w:type="dxa"/>
          </w:tcPr>
          <w:p w14:paraId="01583B6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Indoor air quality</w:t>
            </w:r>
          </w:p>
        </w:tc>
        <w:tc>
          <w:tcPr>
            <w:tcW w:w="1843" w:type="dxa"/>
          </w:tcPr>
          <w:p w14:paraId="30EAAA5E"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35969F7B" w14:textId="6C0B31CB" w:rsidR="00AB0DB0" w:rsidRPr="0027663C" w:rsidRDefault="00B8494E" w:rsidP="00C422A0">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Indoor Air Comfort Gold, AgBB et</w:t>
            </w:r>
            <w:r w:rsidR="00AB0DB0">
              <w:rPr>
                <w:rFonts w:asciiTheme="minorHAnsi" w:hAnsiTheme="minorHAnsi" w:cstheme="minorHAnsi"/>
                <w:color w:val="000000"/>
                <w:sz w:val="22"/>
                <w:szCs w:val="22"/>
                <w:lang w:val="fr-FR"/>
              </w:rPr>
              <w:t xml:space="preserve"> Prodis-GUT</w:t>
            </w:r>
            <w:r>
              <w:rPr>
                <w:rFonts w:asciiTheme="minorHAnsi" w:hAnsiTheme="minorHAnsi" w:cstheme="minorHAnsi"/>
                <w:color w:val="000000"/>
                <w:sz w:val="22"/>
                <w:szCs w:val="22"/>
                <w:lang w:val="fr-FR"/>
              </w:rPr>
              <w:t xml:space="preserve"> </w:t>
            </w:r>
            <w:r w:rsidR="00AB0DB0">
              <w:rPr>
                <w:rFonts w:asciiTheme="minorHAnsi" w:hAnsiTheme="minorHAnsi" w:cstheme="minorHAnsi"/>
                <w:color w:val="000000"/>
                <w:sz w:val="22"/>
                <w:szCs w:val="22"/>
                <w:lang w:val="fr-FR"/>
              </w:rPr>
              <w:t>disponible</w:t>
            </w:r>
          </w:p>
        </w:tc>
      </w:tr>
      <w:tr w:rsidR="00733DBE" w:rsidRPr="00BF2D66" w14:paraId="6CB69367" w14:textId="77777777" w:rsidTr="00B8494E">
        <w:trPr>
          <w:trHeight w:val="283"/>
        </w:trPr>
        <w:tc>
          <w:tcPr>
            <w:tcW w:w="3085" w:type="dxa"/>
          </w:tcPr>
          <w:p w14:paraId="3EB99940" w14:textId="20E36059" w:rsidR="00733DBE" w:rsidRPr="00BF2D66" w:rsidRDefault="00733DBE"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Emissions TVOC après 28j</w:t>
            </w:r>
          </w:p>
        </w:tc>
        <w:tc>
          <w:tcPr>
            <w:tcW w:w="1843" w:type="dxa"/>
          </w:tcPr>
          <w:p w14:paraId="71390BEE" w14:textId="25867BF5" w:rsidR="00733DBE" w:rsidRPr="00BF2D66" w:rsidRDefault="00733DBE"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348BA7F1" w14:textId="274788BB" w:rsidR="00733DBE" w:rsidRDefault="00733DBE" w:rsidP="00C422A0">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0.1 mg/m³</w:t>
            </w:r>
          </w:p>
        </w:tc>
      </w:tr>
      <w:tr w:rsidR="00AB0DB0" w:rsidRPr="00BF2D66" w14:paraId="1884305E" w14:textId="77777777" w:rsidTr="00B8494E">
        <w:trPr>
          <w:trHeight w:val="283"/>
        </w:trPr>
        <w:tc>
          <w:tcPr>
            <w:tcW w:w="3085" w:type="dxa"/>
          </w:tcPr>
          <w:p w14:paraId="031A26B7" w14:textId="77777777" w:rsidR="00AB0DB0"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Garantie</w:t>
            </w:r>
          </w:p>
        </w:tc>
        <w:tc>
          <w:tcPr>
            <w:tcW w:w="1843" w:type="dxa"/>
          </w:tcPr>
          <w:p w14:paraId="1D4BE9C3"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0453A8ED" w14:textId="77777777" w:rsidR="00AB0DB0" w:rsidRDefault="00AB0DB0" w:rsidP="00C422A0">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10 ans</w:t>
            </w:r>
          </w:p>
        </w:tc>
      </w:tr>
      <w:tr w:rsidR="00AB0DB0" w:rsidRPr="00BF2D66" w14:paraId="1C3592CE" w14:textId="77777777" w:rsidTr="00B8494E">
        <w:trPr>
          <w:trHeight w:val="283"/>
        </w:trPr>
        <w:tc>
          <w:tcPr>
            <w:tcW w:w="3085" w:type="dxa"/>
          </w:tcPr>
          <w:p w14:paraId="22403654"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Mode de pose</w:t>
            </w:r>
          </w:p>
        </w:tc>
        <w:tc>
          <w:tcPr>
            <w:tcW w:w="1843" w:type="dxa"/>
          </w:tcPr>
          <w:p w14:paraId="1471067D"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4F12B84F" w14:textId="3A6E3ABE" w:rsidR="00AB0DB0" w:rsidRPr="0027663C" w:rsidRDefault="00B8494E"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M</w:t>
            </w:r>
            <w:r w:rsidR="00AB0DB0" w:rsidRPr="00710D0E">
              <w:rPr>
                <w:rFonts w:asciiTheme="minorHAnsi" w:hAnsiTheme="minorHAnsi" w:cstheme="minorHAnsi"/>
                <w:color w:val="000000"/>
                <w:sz w:val="22"/>
                <w:szCs w:val="22"/>
                <w:lang w:val="fr-FR"/>
              </w:rPr>
              <w:t>onolithique</w:t>
            </w:r>
            <w:r w:rsidR="008935DF">
              <w:rPr>
                <w:rFonts w:asciiTheme="minorHAnsi" w:hAnsiTheme="minorHAnsi" w:cstheme="minorHAnsi"/>
                <w:color w:val="000000"/>
                <w:sz w:val="22"/>
                <w:szCs w:val="22"/>
                <w:lang w:val="fr-FR"/>
              </w:rPr>
              <w:t xml:space="preserve"> et damier</w:t>
            </w:r>
          </w:p>
        </w:tc>
      </w:tr>
      <w:tr w:rsidR="00AB0DB0" w:rsidRPr="00BF2D66" w14:paraId="044B8EEB" w14:textId="77777777" w:rsidTr="00B8494E">
        <w:trPr>
          <w:trHeight w:val="283"/>
        </w:trPr>
        <w:tc>
          <w:tcPr>
            <w:tcW w:w="3085" w:type="dxa"/>
          </w:tcPr>
          <w:p w14:paraId="4E4DB616"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Réaction au feu</w:t>
            </w:r>
          </w:p>
        </w:tc>
        <w:tc>
          <w:tcPr>
            <w:tcW w:w="1843" w:type="dxa"/>
          </w:tcPr>
          <w:p w14:paraId="164F4E40"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13501-1</w:t>
            </w:r>
          </w:p>
        </w:tc>
        <w:tc>
          <w:tcPr>
            <w:tcW w:w="5279" w:type="dxa"/>
          </w:tcPr>
          <w:p w14:paraId="7B79A212" w14:textId="2AB82198" w:rsidR="00AB0DB0" w:rsidRPr="00BF2D66" w:rsidRDefault="00AB0DB0" w:rsidP="00C422A0">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B</w:t>
            </w:r>
            <w:r w:rsidRPr="00BF2D66">
              <w:rPr>
                <w:rFonts w:asciiTheme="minorHAnsi" w:hAnsiTheme="minorHAnsi" w:cstheme="minorHAnsi"/>
                <w:sz w:val="22"/>
                <w:szCs w:val="22"/>
                <w:vertAlign w:val="subscript"/>
                <w:lang w:val="fr-FR"/>
              </w:rPr>
              <w:t>fl</w:t>
            </w:r>
            <w:r w:rsidRPr="00BF2D66">
              <w:rPr>
                <w:rFonts w:asciiTheme="minorHAnsi" w:hAnsiTheme="minorHAnsi" w:cstheme="minorHAnsi"/>
                <w:sz w:val="22"/>
                <w:szCs w:val="22"/>
                <w:lang w:val="fr-FR"/>
              </w:rPr>
              <w:t xml:space="preserve"> -s1</w:t>
            </w:r>
            <w:r w:rsidR="00733DBE">
              <w:rPr>
                <w:rFonts w:asciiTheme="minorHAnsi" w:hAnsiTheme="minorHAnsi" w:cstheme="minorHAnsi"/>
                <w:sz w:val="22"/>
                <w:szCs w:val="22"/>
                <w:lang w:val="fr-FR"/>
              </w:rPr>
              <w:t>, G, NCS</w:t>
            </w:r>
          </w:p>
        </w:tc>
      </w:tr>
      <w:tr w:rsidR="00AB0DB0" w:rsidRPr="00BF2D66" w14:paraId="0E9B0D85" w14:textId="77777777" w:rsidTr="00B8494E">
        <w:trPr>
          <w:trHeight w:val="283"/>
        </w:trPr>
        <w:tc>
          <w:tcPr>
            <w:tcW w:w="3085" w:type="dxa"/>
          </w:tcPr>
          <w:p w14:paraId="61B682F1"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Résistance au glissement</w:t>
            </w:r>
          </w:p>
        </w:tc>
        <w:tc>
          <w:tcPr>
            <w:tcW w:w="1843" w:type="dxa"/>
          </w:tcPr>
          <w:p w14:paraId="31CA52E2" w14:textId="77777777"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13893</w:t>
            </w:r>
          </w:p>
        </w:tc>
        <w:tc>
          <w:tcPr>
            <w:tcW w:w="5279" w:type="dxa"/>
          </w:tcPr>
          <w:p w14:paraId="39DA8131" w14:textId="06551EC4"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DS</w:t>
            </w:r>
            <w:r w:rsidR="00B8494E">
              <w:rPr>
                <w:rFonts w:asciiTheme="minorHAnsi" w:hAnsiTheme="minorHAnsi" w:cstheme="minorHAnsi"/>
                <w:color w:val="000000"/>
                <w:sz w:val="22"/>
                <w:szCs w:val="22"/>
                <w:lang w:val="fr-FR"/>
              </w:rPr>
              <w:t xml:space="preserve"> </w:t>
            </w:r>
            <w:r w:rsidRPr="00BF2D66">
              <w:rPr>
                <w:rFonts w:asciiTheme="minorHAnsi" w:hAnsiTheme="minorHAnsi" w:cstheme="minorHAnsi"/>
                <w:sz w:val="22"/>
                <w:szCs w:val="22"/>
                <w:lang w:val="fr-FR"/>
              </w:rPr>
              <w:t>≥</w:t>
            </w:r>
            <w:r w:rsidR="00B8494E">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0,30</w:t>
            </w:r>
          </w:p>
        </w:tc>
      </w:tr>
      <w:tr w:rsidR="00AB0DB0" w:rsidRPr="00BF2D66" w14:paraId="12E85FDF" w14:textId="77777777" w:rsidTr="00B8494E">
        <w:trPr>
          <w:trHeight w:val="283"/>
        </w:trPr>
        <w:tc>
          <w:tcPr>
            <w:tcW w:w="3085" w:type="dxa"/>
          </w:tcPr>
          <w:p w14:paraId="6D625D30" w14:textId="77777777" w:rsidR="00AB0DB0" w:rsidRPr="00BF2D66" w:rsidRDefault="00AB0DB0" w:rsidP="00C422A0">
            <w:pPr>
              <w:widowControl/>
              <w:autoSpaceDE/>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Accumulation charges électrostatiques</w:t>
            </w:r>
          </w:p>
        </w:tc>
        <w:tc>
          <w:tcPr>
            <w:tcW w:w="1843" w:type="dxa"/>
          </w:tcPr>
          <w:p w14:paraId="719DEB47" w14:textId="13E46B0D" w:rsidR="00AB0DB0" w:rsidRPr="00BF2D66" w:rsidRDefault="00E5444B"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6356</w:t>
            </w:r>
          </w:p>
        </w:tc>
        <w:tc>
          <w:tcPr>
            <w:tcW w:w="5279" w:type="dxa"/>
          </w:tcPr>
          <w:p w14:paraId="5257F1E9" w14:textId="3CEBA006"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&lt; 2 kV</w:t>
            </w:r>
            <w:r>
              <w:rPr>
                <w:rFonts w:asciiTheme="minorHAnsi" w:hAnsiTheme="minorHAnsi" w:cstheme="minorHAnsi"/>
                <w:sz w:val="22"/>
                <w:szCs w:val="22"/>
                <w:lang w:val="fr-FR"/>
              </w:rPr>
              <w:t xml:space="preserve"> (antistatique</w:t>
            </w:r>
            <w:r w:rsidR="00E5444B">
              <w:rPr>
                <w:rFonts w:asciiTheme="minorHAnsi" w:hAnsiTheme="minorHAnsi" w:cstheme="minorHAnsi"/>
                <w:sz w:val="22"/>
                <w:szCs w:val="22"/>
                <w:lang w:val="fr-FR"/>
              </w:rPr>
              <w:t>)</w:t>
            </w:r>
          </w:p>
        </w:tc>
      </w:tr>
      <w:tr w:rsidR="00AB0DB0" w:rsidRPr="00BF2D66" w14:paraId="0EEC1FA7" w14:textId="77777777" w:rsidTr="00B8494E">
        <w:trPr>
          <w:trHeight w:val="283"/>
        </w:trPr>
        <w:tc>
          <w:tcPr>
            <w:tcW w:w="3085" w:type="dxa"/>
          </w:tcPr>
          <w:p w14:paraId="77B2BAE3" w14:textId="33E07F7F" w:rsidR="00AB0DB0" w:rsidRPr="00BF2D66" w:rsidRDefault="0060008A" w:rsidP="00C422A0">
            <w:pPr>
              <w:widowControl/>
              <w:autoSpaceDE/>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 xml:space="preserve">Conductivité </w:t>
            </w:r>
            <w:r w:rsidR="00AB0DB0">
              <w:rPr>
                <w:rFonts w:asciiTheme="minorHAnsi" w:hAnsiTheme="minorHAnsi" w:cstheme="minorHAnsi"/>
                <w:sz w:val="22"/>
                <w:szCs w:val="22"/>
                <w:lang w:val="fr-FR"/>
              </w:rPr>
              <w:t>thermique</w:t>
            </w:r>
          </w:p>
        </w:tc>
        <w:tc>
          <w:tcPr>
            <w:tcW w:w="1843" w:type="dxa"/>
          </w:tcPr>
          <w:p w14:paraId="1EB87E3E" w14:textId="4E6F6C58" w:rsidR="00AB0DB0" w:rsidRPr="00BF2D66" w:rsidRDefault="0060008A"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12524</w:t>
            </w:r>
          </w:p>
        </w:tc>
        <w:tc>
          <w:tcPr>
            <w:tcW w:w="5279" w:type="dxa"/>
          </w:tcPr>
          <w:p w14:paraId="26CFDA08" w14:textId="6DEE9AB8" w:rsidR="00AB0DB0" w:rsidRPr="00BF2D66" w:rsidRDefault="00AB0DB0" w:rsidP="00C422A0">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0,0</w:t>
            </w:r>
            <w:r w:rsidR="000933C0">
              <w:rPr>
                <w:rFonts w:asciiTheme="minorHAnsi" w:hAnsiTheme="minorHAnsi" w:cstheme="minorHAnsi"/>
                <w:color w:val="000000"/>
                <w:sz w:val="22"/>
                <w:szCs w:val="22"/>
                <w:lang w:val="fr-FR"/>
              </w:rPr>
              <w:t>6 W/mK</w:t>
            </w:r>
          </w:p>
        </w:tc>
      </w:tr>
    </w:tbl>
    <w:p w14:paraId="7331D9A7" w14:textId="77777777" w:rsidR="00AB0DB0" w:rsidRDefault="00AB0DB0" w:rsidP="00AB0DB0">
      <w:pPr>
        <w:widowControl/>
        <w:autoSpaceDE/>
        <w:autoSpaceDN/>
        <w:adjustRightInd/>
        <w:spacing w:line="276" w:lineRule="auto"/>
        <w:rPr>
          <w:rFonts w:asciiTheme="minorHAnsi" w:hAnsiTheme="minorHAnsi" w:cstheme="minorHAnsi"/>
          <w:sz w:val="22"/>
          <w:szCs w:val="22"/>
          <w:u w:val="single"/>
          <w:lang w:val="fr-FR"/>
        </w:rPr>
      </w:pPr>
    </w:p>
    <w:p w14:paraId="2E58224D" w14:textId="77777777" w:rsidR="000933C0" w:rsidRDefault="000933C0" w:rsidP="00AB0DB0">
      <w:pPr>
        <w:widowControl/>
        <w:autoSpaceDE/>
        <w:autoSpaceDN/>
        <w:adjustRightInd/>
        <w:spacing w:line="276" w:lineRule="auto"/>
        <w:rPr>
          <w:rFonts w:asciiTheme="minorHAnsi" w:hAnsiTheme="minorHAnsi" w:cstheme="minorHAnsi"/>
          <w:sz w:val="22"/>
          <w:szCs w:val="22"/>
          <w:u w:val="single"/>
          <w:lang w:val="fr-FR"/>
        </w:rPr>
      </w:pPr>
    </w:p>
    <w:p w14:paraId="60800ED7" w14:textId="77777777" w:rsidR="000933C0" w:rsidRDefault="000933C0" w:rsidP="00AB0DB0">
      <w:pPr>
        <w:widowControl/>
        <w:autoSpaceDE/>
        <w:autoSpaceDN/>
        <w:adjustRightInd/>
        <w:spacing w:line="276" w:lineRule="auto"/>
        <w:rPr>
          <w:rFonts w:asciiTheme="minorHAnsi" w:hAnsiTheme="minorHAnsi" w:cstheme="minorHAnsi"/>
          <w:sz w:val="22"/>
          <w:szCs w:val="22"/>
          <w:u w:val="single"/>
          <w:lang w:val="fr-FR"/>
        </w:rPr>
      </w:pPr>
    </w:p>
    <w:p w14:paraId="701910FE" w14:textId="77777777" w:rsidR="000933C0" w:rsidRDefault="000933C0" w:rsidP="00AB0DB0">
      <w:pPr>
        <w:widowControl/>
        <w:autoSpaceDE/>
        <w:autoSpaceDN/>
        <w:adjustRightInd/>
        <w:spacing w:line="276" w:lineRule="auto"/>
        <w:rPr>
          <w:rFonts w:asciiTheme="minorHAnsi" w:hAnsiTheme="minorHAnsi" w:cstheme="minorHAnsi"/>
          <w:sz w:val="22"/>
          <w:szCs w:val="22"/>
          <w:u w:val="single"/>
          <w:lang w:val="fr-FR"/>
        </w:rPr>
      </w:pPr>
    </w:p>
    <w:p w14:paraId="026A5E06" w14:textId="77777777" w:rsidR="000933C0" w:rsidRDefault="000933C0" w:rsidP="00AB0DB0">
      <w:pPr>
        <w:widowControl/>
        <w:autoSpaceDE/>
        <w:autoSpaceDN/>
        <w:adjustRightInd/>
        <w:spacing w:line="276" w:lineRule="auto"/>
        <w:rPr>
          <w:rFonts w:asciiTheme="minorHAnsi" w:hAnsiTheme="minorHAnsi" w:cstheme="minorHAnsi"/>
          <w:sz w:val="22"/>
          <w:szCs w:val="22"/>
          <w:u w:val="single"/>
          <w:lang w:val="fr-FR"/>
        </w:rPr>
      </w:pPr>
    </w:p>
    <w:p w14:paraId="5A77D8CC" w14:textId="77777777" w:rsidR="00AB0DB0" w:rsidRDefault="00AB0DB0" w:rsidP="00AB0DB0">
      <w:pPr>
        <w:widowControl/>
        <w:autoSpaceDE/>
        <w:autoSpaceDN/>
        <w:adjustRightInd/>
        <w:spacing w:line="276" w:lineRule="auto"/>
        <w:rPr>
          <w:rFonts w:asciiTheme="minorHAnsi" w:hAnsiTheme="minorHAnsi" w:cstheme="minorHAnsi"/>
          <w:sz w:val="22"/>
          <w:szCs w:val="22"/>
          <w:u w:val="single"/>
          <w:lang w:val="fr-FR"/>
        </w:rPr>
      </w:pPr>
    </w:p>
    <w:p w14:paraId="42C4F123" w14:textId="77777777" w:rsidR="00AB0DB0" w:rsidRDefault="00AB0DB0" w:rsidP="00AB0DB0">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Exécution et pose</w:t>
      </w:r>
    </w:p>
    <w:p w14:paraId="18639C31" w14:textId="77777777" w:rsidR="00AB0DB0" w:rsidRPr="00BF2D66" w:rsidRDefault="00AB0DB0" w:rsidP="00AB0DB0">
      <w:pPr>
        <w:widowControl/>
        <w:autoSpaceDE/>
        <w:autoSpaceDN/>
        <w:adjustRightInd/>
        <w:spacing w:line="276" w:lineRule="auto"/>
        <w:rPr>
          <w:rFonts w:asciiTheme="minorHAnsi" w:hAnsiTheme="minorHAnsi" w:cstheme="minorHAnsi"/>
          <w:sz w:val="22"/>
          <w:szCs w:val="22"/>
          <w:u w:val="single"/>
          <w:lang w:val="fr-FR"/>
        </w:rPr>
      </w:pPr>
    </w:p>
    <w:p w14:paraId="406BBA6C"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La pose des dalles de moquette est conforme au guide décrit dans la </w:t>
      </w:r>
      <w:r>
        <w:rPr>
          <w:rFonts w:asciiTheme="minorHAnsi" w:hAnsiTheme="minorHAnsi" w:cstheme="minorHAnsi"/>
          <w:sz w:val="22"/>
          <w:szCs w:val="22"/>
          <w:lang w:val="fr-FR"/>
        </w:rPr>
        <w:t>NIT</w:t>
      </w:r>
      <w:r w:rsidRPr="00266D8B">
        <w:rPr>
          <w:rFonts w:asciiTheme="minorHAnsi" w:hAnsiTheme="minorHAnsi" w:cstheme="minorHAnsi"/>
          <w:sz w:val="22"/>
          <w:szCs w:val="22"/>
          <w:lang w:val="fr-FR"/>
        </w:rPr>
        <w:t xml:space="preserve"> 262 de Buildwise pour la bonne exécution des revêtements de sol textiles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7FDBAB08" w14:textId="77777777" w:rsidR="00AB0DB0" w:rsidRPr="00266D8B" w:rsidRDefault="00AB0DB0" w:rsidP="00AB0DB0">
      <w:pPr>
        <w:pStyle w:val="TxBrp4"/>
        <w:spacing w:line="276" w:lineRule="auto"/>
        <w:rPr>
          <w:rFonts w:asciiTheme="minorHAnsi" w:hAnsiTheme="minorHAnsi" w:cstheme="minorHAnsi"/>
          <w:sz w:val="22"/>
          <w:szCs w:val="22"/>
          <w:lang w:val="fr-FR"/>
        </w:rPr>
      </w:pPr>
    </w:p>
    <w:p w14:paraId="293D3E08"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Si les dalles sont placées sur un sol surélevé, la pose doit être conforme à la T</w:t>
      </w:r>
      <w:r>
        <w:rPr>
          <w:rFonts w:asciiTheme="minorHAnsi" w:hAnsiTheme="minorHAnsi" w:cstheme="minorHAnsi"/>
          <w:sz w:val="22"/>
          <w:szCs w:val="22"/>
          <w:lang w:val="fr-FR"/>
        </w:rPr>
        <w:t xml:space="preserve">NIT </w:t>
      </w:r>
      <w:r w:rsidRPr="00266D8B">
        <w:rPr>
          <w:rFonts w:asciiTheme="minorHAnsi" w:hAnsiTheme="minorHAnsi" w:cstheme="minorHAnsi"/>
          <w:sz w:val="22"/>
          <w:szCs w:val="22"/>
          <w:lang w:val="fr-FR"/>
        </w:rPr>
        <w:t>230 de Buildwise pour les sols surélevés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2D817094" w14:textId="77777777" w:rsidR="00AB0DB0" w:rsidRPr="00266D8B" w:rsidRDefault="00AB0DB0" w:rsidP="00AB0DB0">
      <w:pPr>
        <w:pStyle w:val="TxBrp4"/>
        <w:spacing w:line="276" w:lineRule="auto"/>
        <w:rPr>
          <w:rFonts w:asciiTheme="minorHAnsi" w:hAnsiTheme="minorHAnsi" w:cstheme="minorHAnsi"/>
          <w:sz w:val="22"/>
          <w:szCs w:val="22"/>
          <w:lang w:val="fr-FR"/>
        </w:rPr>
      </w:pPr>
    </w:p>
    <w:p w14:paraId="59C8B608"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Le constructeur doit prévoir un espace pour stocker les boîtes horizontalement dans un local sec et ventilé où la température est d'au moins 18 °C. Pendant le stockage, veillez à ce que les cartons soient à plat et empilés régulièrement. Ne pas empiler les cartons à la verticale.</w:t>
      </w:r>
    </w:p>
    <w:p w14:paraId="03FC29B3" w14:textId="77777777" w:rsidR="00AB0DB0" w:rsidRPr="00266D8B" w:rsidRDefault="00AB0DB0" w:rsidP="00AB0DB0">
      <w:pPr>
        <w:pStyle w:val="TxBrp4"/>
        <w:spacing w:line="276" w:lineRule="auto"/>
        <w:rPr>
          <w:rFonts w:asciiTheme="minorHAnsi" w:hAnsiTheme="minorHAnsi" w:cstheme="minorHAnsi"/>
          <w:sz w:val="22"/>
          <w:szCs w:val="22"/>
          <w:lang w:val="fr-FR"/>
        </w:rPr>
      </w:pPr>
    </w:p>
    <w:p w14:paraId="7BD874DE"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Il est essentiel de maintenir une température stable entre 18 et 27°C dans la zone de pose.  L'humidité relative ne doit pas dépasser 65 % de préférence et ne doit surtout pas dépasser 75 %.  Ces valeurs s'appliquent 48 heures avant la pose, pendant la pose et jusqu'à 24 heures après la pose.  </w:t>
      </w:r>
    </w:p>
    <w:p w14:paraId="3A08555F"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 </w:t>
      </w:r>
    </w:p>
    <w:p w14:paraId="6CBFE690" w14:textId="77777777" w:rsidR="00AB0DB0" w:rsidRPr="00266D8B"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Acclimatez les dalles de moquette dans la salle de pose pendant 24 heures dans des boîtes ouvertes.  Empilez un maximum de 6 boîtes les unes sur les autres.  Si les boîtes ont été exposées à des températures inférieures à 10°C avant la pose, la période d'acclimatation doit être portée à 48 heures.</w:t>
      </w:r>
    </w:p>
    <w:p w14:paraId="18FD2657" w14:textId="77777777" w:rsidR="00AB0DB0" w:rsidRPr="00266D8B" w:rsidRDefault="00AB0DB0" w:rsidP="00AB0DB0">
      <w:pPr>
        <w:pStyle w:val="TxBrp4"/>
        <w:spacing w:line="276" w:lineRule="auto"/>
        <w:rPr>
          <w:rFonts w:asciiTheme="minorHAnsi" w:hAnsiTheme="minorHAnsi" w:cstheme="minorHAnsi"/>
          <w:sz w:val="22"/>
          <w:szCs w:val="22"/>
          <w:lang w:val="fr-FR"/>
        </w:rPr>
      </w:pPr>
    </w:p>
    <w:p w14:paraId="42B48D2E" w14:textId="77777777" w:rsidR="00AB0DB0" w:rsidRDefault="00AB0DB0" w:rsidP="00AB0DB0">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Lors de l'égalisation et de l'application de la colle de fixation, la température du sol doit être de 15°C au minimum et l'humidité relative de 75% au maximum.   Avant de commencer ces travaux, le support doit être conforme aux directives décrites dans les émissions TV 189 et TV 193 de Buildwise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 xml:space="preserve">).   </w:t>
      </w:r>
    </w:p>
    <w:p w14:paraId="2398F2AF" w14:textId="77777777" w:rsidR="00AB0DB0" w:rsidRDefault="00AB0DB0" w:rsidP="00AB0DB0">
      <w:pPr>
        <w:pStyle w:val="TxBrp4"/>
        <w:spacing w:line="276" w:lineRule="auto"/>
        <w:rPr>
          <w:rFonts w:asciiTheme="minorHAnsi" w:hAnsiTheme="minorHAnsi" w:cstheme="minorHAnsi"/>
          <w:sz w:val="22"/>
          <w:szCs w:val="22"/>
          <w:lang w:val="fr-FR"/>
        </w:rPr>
      </w:pPr>
    </w:p>
    <w:p w14:paraId="3DA2D64D" w14:textId="77777777" w:rsidR="00AB0DB0" w:rsidRDefault="00AB0DB0" w:rsidP="00AB0DB0">
      <w:pPr>
        <w:pStyle w:val="TxBrp4"/>
        <w:spacing w:line="276" w:lineRule="auto"/>
        <w:rPr>
          <w:rFonts w:asciiTheme="minorHAnsi" w:hAnsiTheme="minorHAnsi" w:cstheme="minorHAnsi"/>
          <w:b/>
          <w:bCs/>
          <w:sz w:val="22"/>
          <w:szCs w:val="22"/>
          <w:lang w:val="fr-FR"/>
        </w:rPr>
      </w:pPr>
      <w:r w:rsidRPr="003239A7">
        <w:rPr>
          <w:rFonts w:asciiTheme="minorHAnsi" w:hAnsiTheme="minorHAnsi" w:cstheme="minorHAnsi"/>
          <w:b/>
          <w:bCs/>
          <w:sz w:val="22"/>
          <w:szCs w:val="22"/>
          <w:lang w:val="fr-FR"/>
        </w:rPr>
        <w:t xml:space="preserve">La pose de la dalle englobe également : </w:t>
      </w:r>
    </w:p>
    <w:p w14:paraId="2B0420B0" w14:textId="77777777" w:rsidR="00AB0DB0" w:rsidRPr="003239A7" w:rsidRDefault="00AB0DB0" w:rsidP="00AB0DB0">
      <w:pPr>
        <w:pStyle w:val="TxBrp4"/>
        <w:spacing w:line="276" w:lineRule="auto"/>
        <w:rPr>
          <w:rFonts w:asciiTheme="minorHAnsi" w:hAnsiTheme="minorHAnsi" w:cstheme="minorHAnsi"/>
          <w:b/>
          <w:bCs/>
          <w:sz w:val="22"/>
          <w:szCs w:val="22"/>
          <w:lang w:val="fr-FR"/>
        </w:rPr>
      </w:pPr>
    </w:p>
    <w:p w14:paraId="5866DC2C" w14:textId="77777777" w:rsidR="00AB0DB0" w:rsidRPr="00BF2D66" w:rsidRDefault="00AB0DB0" w:rsidP="00AB0DB0">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en stabilisé avec des mortiers de ragréage adaptés offrant une résistance à la pression de ≥ 30 N/mm</w:t>
      </w:r>
      <w:r w:rsidRPr="00BF2D66">
        <w:rPr>
          <w:rFonts w:asciiTheme="minorHAnsi" w:hAnsiTheme="minorHAnsi" w:cstheme="minorHAnsi"/>
          <w:sz w:val="22"/>
          <w:szCs w:val="22"/>
          <w:vertAlign w:val="superscript"/>
          <w:lang w:val="fr-FR"/>
        </w:rPr>
        <w:t xml:space="preserve">2 </w:t>
      </w:r>
      <w:r w:rsidRPr="00BF2D66">
        <w:rPr>
          <w:rFonts w:asciiTheme="minorHAnsi" w:hAnsiTheme="minorHAnsi" w:cstheme="minorHAnsi"/>
          <w:sz w:val="22"/>
          <w:szCs w:val="22"/>
          <w:lang w:val="fr-FR"/>
        </w:rPr>
        <w:t>mesurée selon NEN-EN 13892 et une résistance à la flexion de ≥ 8 N/mm² mesurée selon NEN-EN 13892. Ces mortiers doivent également porter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7D1974D3" w14:textId="77777777" w:rsidR="00AB0DB0" w:rsidRPr="00BF2D66" w:rsidRDefault="00AB0DB0" w:rsidP="00AB0DB0">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anhydrites avec des mortiers de ragréage adaptés, à base de sulfate de calcium offrant une résistance à la pression de &gt; 20,0 N/mm² et une résistance à la flexion de 8,0 N/mm² selon NEN-EN 13892 et portant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54A3B19F" w14:textId="77777777" w:rsidR="00AB0DB0" w:rsidRPr="00BF2D66" w:rsidRDefault="00AB0DB0" w:rsidP="00AB0DB0">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contrôle selon la méthode CM du taux d’humidité de la chape. Pour une chape adhésive, il convient également de déterminer le taux d’humidité du béton d’isolation et du sol porteur.</w:t>
      </w:r>
    </w:p>
    <w:p w14:paraId="26E1FB0D"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taux d’humidité maximum est de 2,0 % pour les chapes liées au ciment et de 0,5 % pour les chapes anhydrites.</w:t>
      </w:r>
    </w:p>
    <w:p w14:paraId="4668F6D7"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Si un chauffage par le sol est prévu, le taux d’humidité maximum admis est de 1,8 % pour les chapes liées au ciment et de 0,3 % pour les chapes anhydrites.</w:t>
      </w:r>
    </w:p>
    <w:p w14:paraId="43D27D22" w14:textId="77777777" w:rsidR="00AB0DB0" w:rsidRPr="00BF2D66" w:rsidRDefault="00AB0DB0" w:rsidP="00AB0DB0">
      <w:pPr>
        <w:pStyle w:val="TxBrp4"/>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En cas de pose sur un chauffage par le sol, le protocole de démarrage du chauffage par le sol doit être entièrement exécuté conformément aux directives du fournisseur et à la NIT 241 point 7.2.6. </w:t>
      </w:r>
      <w:r w:rsidRPr="00BF2D66">
        <w:rPr>
          <w:rFonts w:asciiTheme="minorHAnsi" w:hAnsiTheme="minorHAnsi" w:cstheme="minorHAnsi"/>
          <w:sz w:val="22"/>
          <w:szCs w:val="22"/>
          <w:lang w:val="fr-FR"/>
        </w:rPr>
        <w:lastRenderedPageBreak/>
        <w:t>Éteindre le chauffage la veille de l’égalisation ; remettre le chauffage en marche au minimum 24 heures après la pose du revêtement de sol ; augmenter la température de l’eau par incréments de maximum 5 °C par jour. Les joints de la chape doivent être repris dans le revêtement de sol conformément aux directives de la NIT 241 point 7.2.5.</w:t>
      </w:r>
    </w:p>
    <w:p w14:paraId="7D1751D2" w14:textId="77777777" w:rsidR="00AB0DB0"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chape doit également être propre, sec en permanence et exempt de graisse et de salissures, conformément aux exigenc</w:t>
      </w:r>
      <w:r>
        <w:rPr>
          <w:rFonts w:asciiTheme="minorHAnsi" w:hAnsiTheme="minorHAnsi" w:cstheme="minorHAnsi"/>
          <w:sz w:val="22"/>
          <w:szCs w:val="22"/>
          <w:lang w:val="fr-FR"/>
        </w:rPr>
        <w:t>es indiquées dans le DIN 18 365</w:t>
      </w:r>
      <w:r w:rsidRPr="00BF2D66">
        <w:rPr>
          <w:rFonts w:asciiTheme="minorHAnsi" w:hAnsiTheme="minorHAnsi" w:cstheme="minorHAnsi"/>
          <w:sz w:val="22"/>
          <w:szCs w:val="22"/>
          <w:lang w:val="fr-FR"/>
        </w:rPr>
        <w:t>.</w:t>
      </w:r>
    </w:p>
    <w:p w14:paraId="02AAE8A4" w14:textId="77777777" w:rsidR="00AB0DB0" w:rsidRPr="00BF2D66" w:rsidRDefault="00AB0DB0" w:rsidP="00AB0DB0">
      <w:pPr>
        <w:pStyle w:val="TxBrp5"/>
        <w:spacing w:line="276" w:lineRule="auto"/>
        <w:ind w:left="683" w:firstLine="0"/>
        <w:rPr>
          <w:rFonts w:asciiTheme="minorHAnsi" w:hAnsiTheme="minorHAnsi" w:cstheme="minorHAnsi"/>
          <w:sz w:val="22"/>
          <w:szCs w:val="22"/>
          <w:lang w:val="fr-FR"/>
        </w:rPr>
      </w:pPr>
    </w:p>
    <w:p w14:paraId="71AB9F16" w14:textId="77777777" w:rsidR="00AB0DB0" w:rsidRDefault="00AB0DB0" w:rsidP="00AB0DB0">
      <w:pPr>
        <w:pStyle w:val="TxBrp5"/>
        <w:spacing w:line="276" w:lineRule="auto"/>
        <w:ind w:left="323" w:firstLine="0"/>
        <w:rPr>
          <w:rFonts w:asciiTheme="minorHAnsi" w:hAnsiTheme="minorHAnsi" w:cstheme="minorHAnsi"/>
          <w:b/>
          <w:bCs/>
          <w:sz w:val="22"/>
          <w:szCs w:val="22"/>
          <w:u w:val="single"/>
          <w:lang w:val="fr-FR"/>
        </w:rPr>
      </w:pPr>
      <w:r w:rsidRPr="00694565">
        <w:rPr>
          <w:rFonts w:asciiTheme="minorHAnsi" w:hAnsiTheme="minorHAnsi" w:cstheme="minorHAnsi"/>
          <w:b/>
          <w:bCs/>
          <w:sz w:val="22"/>
          <w:szCs w:val="22"/>
          <w:u w:val="single"/>
          <w:lang w:val="fr-FR"/>
        </w:rPr>
        <w:t xml:space="preserve">Chape à base de ciment : </w:t>
      </w:r>
    </w:p>
    <w:p w14:paraId="60030215" w14:textId="77777777" w:rsidR="00AB0DB0" w:rsidRPr="00694565" w:rsidRDefault="00AB0DB0" w:rsidP="00AB0DB0">
      <w:pPr>
        <w:pStyle w:val="TxBrp5"/>
        <w:spacing w:line="276" w:lineRule="auto"/>
        <w:ind w:left="323" w:firstLine="0"/>
        <w:rPr>
          <w:rFonts w:asciiTheme="minorHAnsi" w:hAnsiTheme="minorHAnsi" w:cstheme="minorHAnsi"/>
          <w:b/>
          <w:bCs/>
          <w:sz w:val="22"/>
          <w:szCs w:val="22"/>
          <w:u w:val="single"/>
          <w:lang w:val="fr-FR"/>
        </w:rPr>
      </w:pPr>
    </w:p>
    <w:p w14:paraId="6E73D08B" w14:textId="77777777" w:rsidR="00AB0DB0" w:rsidRPr="00BF2D66"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 primaire est toujours appliqué ; il doit être adapté à la nature de la chape et à la nature des produits d’égalisation. Le primaire présente un poids spécifique de 1,01 kg/l et un rendement de</w:t>
      </w:r>
      <w:r>
        <w:rPr>
          <w:rFonts w:asciiTheme="minorHAnsi" w:hAnsiTheme="minorHAnsi" w:cstheme="minorHAnsi"/>
          <w:sz w:val="22"/>
          <w:szCs w:val="22"/>
          <w:lang w:val="fr-FR"/>
        </w:rPr>
        <w:t xml:space="preserve"> 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w:t>
      </w:r>
      <w:r w:rsidRPr="00BF2D66">
        <w:rPr>
          <w:rFonts w:asciiTheme="minorHAnsi" w:hAnsiTheme="minorHAnsi" w:cstheme="minorHAnsi"/>
          <w:sz w:val="22"/>
          <w:szCs w:val="22"/>
          <w:lang w:val="fr-FR"/>
        </w:rPr>
        <w:t xml:space="preserve"> ; </w:t>
      </w:r>
      <w:bookmarkStart w:id="0" w:name="_Hlk183083777"/>
      <w:r>
        <w:rPr>
          <w:rFonts w:asciiTheme="minorHAnsi" w:hAnsiTheme="minorHAnsi" w:cstheme="minorHAnsi"/>
          <w:sz w:val="22"/>
          <w:szCs w:val="22"/>
          <w:lang w:val="fr-FR"/>
        </w:rPr>
        <w:t>ce produit 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0"/>
    <w:p w14:paraId="6C145A6E" w14:textId="77777777" w:rsidR="00AB0DB0" w:rsidRPr="00BF2D66"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résistance à la pression de &gt; 34,0 N/mm² et une résistance à la flexion de 9,0 N/mm² selon NEN-EN 13892</w:t>
      </w:r>
      <w:r>
        <w:rPr>
          <w:rFonts w:asciiTheme="minorHAnsi" w:hAnsiTheme="minorHAnsi" w:cstheme="minorHAnsi"/>
          <w:sz w:val="22"/>
          <w:szCs w:val="22"/>
          <w:lang w:val="fr-FR"/>
        </w:rPr>
        <w:t xml:space="preserve">.  Ce </w:t>
      </w:r>
      <w:bookmarkStart w:id="1" w:name="_Hlk183084115"/>
      <w:r>
        <w:rPr>
          <w:rFonts w:asciiTheme="minorHAnsi" w:hAnsiTheme="minorHAnsi" w:cstheme="minorHAnsi"/>
          <w:sz w:val="22"/>
          <w:szCs w:val="22"/>
          <w:lang w:val="fr-FR"/>
        </w:rPr>
        <w:t>produit est conforme à l’Emicode ‘’EC1+’’ en porte le label ‘’</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w:t>
      </w:r>
    </w:p>
    <w:bookmarkEnd w:id="1"/>
    <w:p w14:paraId="63DE2A91" w14:textId="77777777" w:rsidR="00AB0DB0" w:rsidRPr="00F765C4" w:rsidRDefault="00AB0DB0" w:rsidP="00AB0DB0">
      <w:pPr>
        <w:pStyle w:val="TxBrp5"/>
        <w:numPr>
          <w:ilvl w:val="3"/>
          <w:numId w:val="3"/>
        </w:numPr>
        <w:spacing w:line="276" w:lineRule="auto"/>
        <w:rPr>
          <w:rFonts w:asciiTheme="minorHAnsi" w:hAnsiTheme="minorHAnsi" w:cstheme="minorHAnsi"/>
          <w:sz w:val="22"/>
          <w:szCs w:val="22"/>
          <w:lang w:val="fr-FR"/>
        </w:rPr>
      </w:pPr>
      <w:r w:rsidRPr="00F765C4">
        <w:rPr>
          <w:rFonts w:asciiTheme="minorHAnsi" w:hAnsiTheme="minorHAnsi" w:cstheme="minorHAnsi"/>
          <w:sz w:val="22"/>
          <w:szCs w:val="22"/>
          <w:lang w:val="fr-FR"/>
        </w:rPr>
        <w:t xml:space="preserve">Les produits d’égalisation existants qui ne nécessitent pas de primaire avec une résistance à la pression de &gt; 33,0 N/mm² et une résistance à la flexion de 11,0 N/mm² selon NEN-EN 13892.  Ce produit est conforme à l’Emicode ‘’EC1+’’ en porte le label ‘’90 % moins de poussière’’. </w:t>
      </w:r>
    </w:p>
    <w:p w14:paraId="5D13D936" w14:textId="77777777" w:rsidR="00AB0DB0" w:rsidRPr="00F765C4" w:rsidRDefault="00AB0DB0" w:rsidP="00AB0DB0">
      <w:pPr>
        <w:pStyle w:val="TxBrp5"/>
        <w:spacing w:line="276" w:lineRule="auto"/>
        <w:ind w:left="1073" w:firstLine="0"/>
        <w:rPr>
          <w:rFonts w:asciiTheme="minorHAnsi" w:hAnsiTheme="minorHAnsi" w:cstheme="minorHAnsi"/>
          <w:sz w:val="22"/>
          <w:szCs w:val="22"/>
          <w:lang w:val="fr-FR"/>
        </w:rPr>
      </w:pPr>
    </w:p>
    <w:p w14:paraId="5D80D2F8" w14:textId="77777777" w:rsidR="00AB0DB0" w:rsidRDefault="00AB0DB0" w:rsidP="00AB0DB0">
      <w:pPr>
        <w:pStyle w:val="TxBrp5"/>
        <w:spacing w:line="276" w:lineRule="auto"/>
        <w:ind w:left="323" w:firstLine="0"/>
        <w:rPr>
          <w:rFonts w:asciiTheme="minorHAnsi" w:hAnsiTheme="minorHAnsi" w:cstheme="minorHAnsi"/>
          <w:b/>
          <w:bCs/>
          <w:sz w:val="22"/>
          <w:szCs w:val="22"/>
          <w:u w:val="single"/>
          <w:lang w:val="fr-FR"/>
        </w:rPr>
      </w:pPr>
      <w:r w:rsidRPr="00CD5D3F">
        <w:rPr>
          <w:rFonts w:asciiTheme="minorHAnsi" w:hAnsiTheme="minorHAnsi" w:cstheme="minorHAnsi"/>
          <w:b/>
          <w:bCs/>
          <w:sz w:val="22"/>
          <w:szCs w:val="22"/>
          <w:u w:val="single"/>
          <w:lang w:val="fr-FR"/>
        </w:rPr>
        <w:t xml:space="preserve">Chape </w:t>
      </w:r>
      <w:r>
        <w:rPr>
          <w:rFonts w:asciiTheme="minorHAnsi" w:hAnsiTheme="minorHAnsi" w:cstheme="minorHAnsi"/>
          <w:b/>
          <w:bCs/>
          <w:sz w:val="22"/>
          <w:szCs w:val="22"/>
          <w:u w:val="single"/>
          <w:lang w:val="fr-FR"/>
        </w:rPr>
        <w:t>à base d’</w:t>
      </w:r>
      <w:r w:rsidRPr="00CD5D3F">
        <w:rPr>
          <w:rFonts w:asciiTheme="minorHAnsi" w:hAnsiTheme="minorHAnsi" w:cstheme="minorHAnsi"/>
          <w:b/>
          <w:bCs/>
          <w:sz w:val="22"/>
          <w:szCs w:val="22"/>
          <w:u w:val="single"/>
          <w:lang w:val="fr-FR"/>
        </w:rPr>
        <w:t>anhydrite :</w:t>
      </w:r>
    </w:p>
    <w:p w14:paraId="322A5294" w14:textId="77777777" w:rsidR="00AB0DB0" w:rsidRPr="00CD5D3F" w:rsidRDefault="00AB0DB0" w:rsidP="00AB0DB0">
      <w:pPr>
        <w:pStyle w:val="TxBrp5"/>
        <w:spacing w:line="276" w:lineRule="auto"/>
        <w:ind w:left="0" w:firstLine="0"/>
        <w:rPr>
          <w:rFonts w:asciiTheme="minorHAnsi" w:hAnsiTheme="minorHAnsi" w:cstheme="minorHAnsi"/>
          <w:b/>
          <w:bCs/>
          <w:sz w:val="22"/>
          <w:szCs w:val="22"/>
          <w:u w:val="single"/>
          <w:lang w:val="fr-FR"/>
        </w:rPr>
      </w:pPr>
    </w:p>
    <w:p w14:paraId="1CAED37B" w14:textId="77777777" w:rsidR="00AB0DB0" w:rsidRPr="008A73A4"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L’application sur la chape en anhydrite synthétique d’un apprêt adapté à base de dispersion acrylique présentant un poids spécifique de 1,01 kg/l</w:t>
      </w:r>
      <w:r w:rsidRPr="00D9763D">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xml:space="preserve">et un rendement de </w:t>
      </w:r>
      <w:r>
        <w:rPr>
          <w:rFonts w:asciiTheme="minorHAnsi" w:hAnsiTheme="minorHAnsi" w:cstheme="minorHAnsi"/>
          <w:sz w:val="22"/>
          <w:szCs w:val="22"/>
          <w:lang w:val="fr-FR"/>
        </w:rPr>
        <w:t>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  Ce</w:t>
      </w:r>
      <w:bookmarkStart w:id="2" w:name="_Hlk183083947"/>
      <w:r w:rsidRPr="00C506CE">
        <w:rPr>
          <w:rFonts w:asciiTheme="minorHAnsi" w:hAnsiTheme="minorHAnsi" w:cstheme="minorHAnsi"/>
          <w:sz w:val="22"/>
          <w:szCs w:val="22"/>
          <w:lang w:val="fr-FR"/>
        </w:rPr>
        <w:t xml:space="preserve"> produit </w:t>
      </w:r>
      <w:r>
        <w:rPr>
          <w:rFonts w:asciiTheme="minorHAnsi" w:hAnsiTheme="minorHAnsi" w:cstheme="minorHAnsi"/>
          <w:sz w:val="22"/>
          <w:szCs w:val="22"/>
          <w:lang w:val="fr-FR"/>
        </w:rPr>
        <w:t>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2"/>
    <w:p w14:paraId="79F3D5BE" w14:textId="77777777" w:rsidR="00AB0DB0" w:rsidRPr="006B393F"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égalisation à base de sulfate de calcium offrant une résistance à la pression de &gt; 35,0 N/mm² et une résistance à la flexion de 9,0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1A5BE5D8" w14:textId="77777777" w:rsidR="00AB0DB0" w:rsidRPr="006B393F" w:rsidRDefault="00AB0DB0" w:rsidP="00AB0DB0">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produits d’égalisation existants qui ne nécessitent pas de primaire à base de sulfate de calcium présentant une teneur particulièrement élevée en liants et offrant une résistance à la pression de &gt; 30,0 N/mm² et une résistance à la flexion de 11,0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528D40D8" w14:textId="77777777" w:rsidR="00AB0DB0" w:rsidRPr="00BF2D66" w:rsidRDefault="00AB0DB0" w:rsidP="00AB0DB0">
      <w:pPr>
        <w:pStyle w:val="TxBrp5"/>
        <w:spacing w:line="276" w:lineRule="auto"/>
        <w:ind w:left="713" w:firstLine="0"/>
        <w:rPr>
          <w:rFonts w:asciiTheme="minorHAnsi" w:hAnsiTheme="minorHAnsi" w:cstheme="minorHAnsi"/>
          <w:sz w:val="22"/>
          <w:szCs w:val="22"/>
          <w:lang w:val="fr-FR"/>
        </w:rPr>
      </w:pPr>
    </w:p>
    <w:p w14:paraId="0FFD9336"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L’épaisseur de la couche et la résistance de l’égalisation sont fonction de la charge ponctuelle permanente et de la nature du trafic.</w:t>
      </w:r>
    </w:p>
    <w:p w14:paraId="0E0531F2"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D60F2F">
        <w:rPr>
          <w:rFonts w:asciiTheme="minorHAnsi" w:hAnsiTheme="minorHAnsi" w:cstheme="minorHAnsi"/>
          <w:sz w:val="22"/>
          <w:szCs w:val="22"/>
          <w:lang w:val="fr-FR"/>
        </w:rPr>
        <w:t xml:space="preserve">Le ragréage est effectué à l'aide d'un rouleau débulleur et sera poncé après séchage afin d'obtenir </w:t>
      </w:r>
      <w:r w:rsidRPr="00BF2D66">
        <w:rPr>
          <w:rFonts w:asciiTheme="minorHAnsi" w:hAnsiTheme="minorHAnsi" w:cstheme="minorHAnsi"/>
          <w:sz w:val="22"/>
          <w:szCs w:val="22"/>
          <w:lang w:val="fr-FR"/>
        </w:rPr>
        <w:t>obtenir une surface parfaitement plane.</w:t>
      </w:r>
    </w:p>
    <w:p w14:paraId="7859D4A5" w14:textId="77777777" w:rsidR="00AB0DB0" w:rsidRPr="00BF2D66" w:rsidRDefault="00AB0DB0" w:rsidP="00AB0DB0">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Utiliser dans une même pièce des dalles d’un même lot et dont les numéros de lot se suivent.</w:t>
      </w:r>
    </w:p>
    <w:p w14:paraId="293FC5F0" w14:textId="77777777" w:rsidR="00AB0DB0" w:rsidRPr="00BF2D66" w:rsidRDefault="00AB0DB0" w:rsidP="00AB0DB0">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dalles sont installées</w:t>
      </w:r>
      <w:r>
        <w:rPr>
          <w:rFonts w:asciiTheme="minorHAnsi" w:hAnsiTheme="minorHAnsi" w:cstheme="minorHAnsi"/>
          <w:sz w:val="22"/>
          <w:szCs w:val="22"/>
          <w:lang w:val="fr-FR"/>
        </w:rPr>
        <w:t xml:space="preserve"> conforme les consignes de pose et</w:t>
      </w:r>
      <w:r w:rsidRPr="00BF2D66">
        <w:rPr>
          <w:rFonts w:asciiTheme="minorHAnsi" w:hAnsiTheme="minorHAnsi" w:cstheme="minorHAnsi"/>
          <w:sz w:val="22"/>
          <w:szCs w:val="22"/>
          <w:lang w:val="fr-FR"/>
        </w:rPr>
        <w:t xml:space="preserve"> dans le motif de pose demandé.</w:t>
      </w:r>
    </w:p>
    <w:p w14:paraId="0E9955BE" w14:textId="77777777" w:rsidR="00AB0DB0" w:rsidRPr="00BF2D66" w:rsidRDefault="00AB0DB0" w:rsidP="00AB0DB0">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lastRenderedPageBreak/>
        <w:t xml:space="preserve">L’encollage des dalles se fait avec un fixateur </w:t>
      </w:r>
      <w:r w:rsidRPr="00C97BD5">
        <w:rPr>
          <w:rFonts w:asciiTheme="minorHAnsi" w:hAnsiTheme="minorHAnsi" w:cstheme="minorHAnsi"/>
          <w:sz w:val="22"/>
          <w:szCs w:val="22"/>
          <w:lang w:val="fr-FR"/>
        </w:rPr>
        <w:t>à forte adhérence finale</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(colle de déménagement) suivant les consignes du fabricant. La colle est sur base acrylique à dispersion et présentant une densité spécifique de 1,04 kg/l et une consommation de 50-100 gr/m² pour sols fermés et de 100-150 gr/m² pour sols poreuse</w:t>
      </w:r>
      <w:r>
        <w:rPr>
          <w:rFonts w:asciiTheme="minorHAnsi" w:hAnsiTheme="minorHAnsi" w:cstheme="minorHAnsi"/>
          <w:sz w:val="22"/>
          <w:szCs w:val="22"/>
          <w:lang w:val="fr-FR"/>
        </w:rPr>
        <w:t>s</w:t>
      </w:r>
      <w:r w:rsidRPr="00BF2D66">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Ce produit est conforme l’Emicode ‘’EC1+’’.  </w:t>
      </w:r>
      <w:r w:rsidRPr="00BF2D66">
        <w:rPr>
          <w:rFonts w:asciiTheme="minorHAnsi" w:hAnsiTheme="minorHAnsi" w:cstheme="minorHAnsi"/>
          <w:sz w:val="22"/>
          <w:szCs w:val="22"/>
          <w:lang w:val="fr-FR"/>
        </w:rPr>
        <w:t>Le lit de colle doit être devenu totalement transparent avant la pose des dalles, qui doivent ensuite être cylindrées soigneusement.</w:t>
      </w:r>
    </w:p>
    <w:p w14:paraId="2B7B0D6D" w14:textId="77777777" w:rsidR="00AB0DB0" w:rsidRPr="00BF2D66" w:rsidRDefault="00AB0DB0" w:rsidP="00AB0DB0">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Dans le cas des charges très lourdes un encollage fixe est recommandé.</w:t>
      </w:r>
    </w:p>
    <w:p w14:paraId="2ABED94E"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dalle est finie contre le mur en fonction de la plinthe choisie.</w:t>
      </w:r>
    </w:p>
    <w:p w14:paraId="76A33C7B" w14:textId="77777777" w:rsidR="00AB0DB0" w:rsidRPr="00BF2D66" w:rsidRDefault="00AB0DB0" w:rsidP="00AB0DB0">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Nettoyage du revêtement de sol, y compris l’élimination de la colle excédentaire.</w:t>
      </w:r>
    </w:p>
    <w:p w14:paraId="6F542EE5" w14:textId="77777777" w:rsidR="00AB0DB0" w:rsidRPr="00BF2D66" w:rsidRDefault="00AB0DB0" w:rsidP="00AB0DB0">
      <w:pPr>
        <w:pStyle w:val="TxBrp4"/>
        <w:spacing w:line="276" w:lineRule="auto"/>
        <w:rPr>
          <w:rFonts w:asciiTheme="minorHAnsi" w:hAnsiTheme="minorHAnsi" w:cstheme="minorHAnsi"/>
          <w:sz w:val="22"/>
          <w:szCs w:val="22"/>
          <w:u w:val="single"/>
          <w:lang w:val="fr-FR"/>
        </w:rPr>
      </w:pPr>
    </w:p>
    <w:p w14:paraId="0B97FCE8" w14:textId="77777777" w:rsidR="00AB0DB0" w:rsidRPr="00BF2D66" w:rsidRDefault="00AB0DB0" w:rsidP="00AB0DB0">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Protection</w:t>
      </w:r>
    </w:p>
    <w:p w14:paraId="60CE118B" w14:textId="77777777" w:rsidR="00AB0DB0" w:rsidRPr="00BF2D66" w:rsidRDefault="00AB0DB0" w:rsidP="00AB0DB0">
      <w:pPr>
        <w:spacing w:line="276" w:lineRule="auto"/>
        <w:rPr>
          <w:rFonts w:asciiTheme="minorHAnsi" w:hAnsiTheme="minorHAnsi" w:cstheme="minorHAnsi"/>
          <w:sz w:val="22"/>
          <w:szCs w:val="22"/>
          <w:lang w:val="fr-FR"/>
        </w:rPr>
      </w:pPr>
    </w:p>
    <w:p w14:paraId="5C83E35A"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4AB5D613" w14:textId="77777777" w:rsidR="00AB0DB0" w:rsidRPr="00BF2D66" w:rsidRDefault="00AB0DB0" w:rsidP="00AB0DB0">
      <w:pPr>
        <w:pStyle w:val="TxBrp11"/>
        <w:tabs>
          <w:tab w:val="left" w:pos="204"/>
        </w:tabs>
        <w:spacing w:line="276" w:lineRule="auto"/>
        <w:rPr>
          <w:rFonts w:asciiTheme="minorHAnsi" w:hAnsiTheme="minorHAnsi" w:cstheme="minorHAnsi"/>
          <w:sz w:val="22"/>
          <w:szCs w:val="22"/>
          <w:lang w:val="fr-FR"/>
        </w:rPr>
      </w:pPr>
    </w:p>
    <w:p w14:paraId="3CE283B3" w14:textId="77777777" w:rsidR="00AB0DB0" w:rsidRPr="00BF2D66" w:rsidRDefault="00AB0DB0" w:rsidP="00AB0DB0">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Entretien et soin du revêtement de sol</w:t>
      </w:r>
    </w:p>
    <w:p w14:paraId="58E339FA" w14:textId="77777777" w:rsidR="00AB0DB0" w:rsidRPr="00BF2D66" w:rsidRDefault="00AB0DB0" w:rsidP="00AB0DB0">
      <w:pPr>
        <w:pStyle w:val="TxBrp4"/>
        <w:spacing w:line="276" w:lineRule="auto"/>
        <w:rPr>
          <w:rFonts w:asciiTheme="minorHAnsi" w:hAnsiTheme="minorHAnsi" w:cstheme="minorHAnsi"/>
          <w:sz w:val="22"/>
          <w:szCs w:val="22"/>
          <w:lang w:val="fr-FR"/>
        </w:rPr>
      </w:pPr>
    </w:p>
    <w:p w14:paraId="2033FE65" w14:textId="77777777" w:rsidR="00AB0DB0" w:rsidRPr="00BF2D66" w:rsidRDefault="00AB0DB0" w:rsidP="00AB0DB0">
      <w:pPr>
        <w:pStyle w:val="TxBrp4"/>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05B3229D" w14:textId="77777777" w:rsidR="00AB0DB0" w:rsidRPr="00BF2D66" w:rsidRDefault="00AB0DB0" w:rsidP="00AB0DB0">
      <w:pPr>
        <w:pStyle w:val="TxBrp4"/>
        <w:spacing w:line="276" w:lineRule="auto"/>
        <w:rPr>
          <w:rFonts w:asciiTheme="minorHAnsi" w:hAnsiTheme="minorHAnsi" w:cstheme="minorHAnsi"/>
          <w:sz w:val="22"/>
          <w:szCs w:val="22"/>
          <w:lang w:val="fr-FR"/>
        </w:rPr>
      </w:pPr>
    </w:p>
    <w:p w14:paraId="4443A42C"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u w:val="single"/>
          <w:lang w:val="fr-FR"/>
        </w:rPr>
        <w:t>Mesures préventives</w:t>
      </w:r>
    </w:p>
    <w:p w14:paraId="71FDFC3B" w14:textId="77777777" w:rsidR="00AB0DB0" w:rsidRPr="00BF2D66" w:rsidRDefault="00AB0DB0" w:rsidP="00AB0DB0">
      <w:pPr>
        <w:pStyle w:val="TxBrp4"/>
        <w:spacing w:line="276" w:lineRule="auto"/>
        <w:rPr>
          <w:rFonts w:asciiTheme="minorHAnsi" w:hAnsiTheme="minorHAnsi" w:cstheme="minorHAnsi"/>
          <w:sz w:val="22"/>
          <w:szCs w:val="22"/>
          <w:lang w:val="fr-FR"/>
        </w:rPr>
      </w:pPr>
    </w:p>
    <w:p w14:paraId="37C251E1" w14:textId="77777777" w:rsidR="00AB0DB0" w:rsidRDefault="00AB0DB0" w:rsidP="00AB0DB0">
      <w:pPr>
        <w:pStyle w:val="TxBrp5"/>
        <w:spacing w:line="276" w:lineRule="auto"/>
        <w:ind w:left="0" w:firstLine="0"/>
        <w:rPr>
          <w:rFonts w:asciiTheme="minorHAnsi" w:hAnsiTheme="minorHAnsi" w:cstheme="minorHAnsi"/>
          <w:sz w:val="22"/>
          <w:szCs w:val="22"/>
          <w:lang w:val="fr-FR"/>
        </w:rPr>
      </w:pPr>
      <w:r>
        <w:rPr>
          <w:rFonts w:asciiTheme="minorHAnsi" w:hAnsiTheme="minorHAnsi" w:cstheme="minorHAnsi"/>
          <w:sz w:val="22"/>
          <w:szCs w:val="22"/>
          <w:lang w:val="fr-FR"/>
        </w:rPr>
        <w:t xml:space="preserve">Prévoyez </w:t>
      </w:r>
      <w:r w:rsidRPr="008C31DE">
        <w:rPr>
          <w:rFonts w:asciiTheme="minorHAnsi" w:hAnsiTheme="minorHAnsi" w:cstheme="minorHAnsi"/>
          <w:sz w:val="22"/>
          <w:szCs w:val="22"/>
          <w:lang w:val="fr-FR"/>
        </w:rPr>
        <w:t xml:space="preserve">une moquette tuftée de qualité, équipée de fils racleurs ancrés dans un support en vinyle Everfort.  La moquette se caractérise par un poil coupé de </w:t>
      </w:r>
      <w:r>
        <w:rPr>
          <w:rFonts w:asciiTheme="minorHAnsi" w:hAnsiTheme="minorHAnsi" w:cstheme="minorHAnsi"/>
          <w:sz w:val="22"/>
          <w:szCs w:val="22"/>
          <w:lang w:val="fr-FR"/>
        </w:rPr>
        <w:t>‘’</w:t>
      </w:r>
      <w:r w:rsidRPr="008C31DE">
        <w:rPr>
          <w:rFonts w:asciiTheme="minorHAnsi" w:hAnsiTheme="minorHAnsi" w:cstheme="minorHAnsi"/>
          <w:sz w:val="22"/>
          <w:szCs w:val="22"/>
          <w:lang w:val="fr-FR"/>
        </w:rPr>
        <w:t>5/32</w:t>
      </w:r>
      <w:r>
        <w:rPr>
          <w:rFonts w:asciiTheme="minorHAnsi" w:hAnsiTheme="minorHAnsi" w:cstheme="minorHAnsi"/>
          <w:sz w:val="22"/>
          <w:szCs w:val="22"/>
          <w:lang w:val="fr-FR"/>
        </w:rPr>
        <w:t>’’</w:t>
      </w:r>
      <w:r w:rsidRPr="008C31DE">
        <w:rPr>
          <w:rFonts w:asciiTheme="minorHAnsi" w:hAnsiTheme="minorHAnsi" w:cstheme="minorHAnsi"/>
          <w:sz w:val="22"/>
          <w:szCs w:val="22"/>
          <w:lang w:val="fr-FR"/>
        </w:rPr>
        <w:t xml:space="preserve"> à base de polyamide 100 % Econyl et peut être installée à toutes les entrées du bâtiment.  La longueur idéale d'une zone de passage propre est de 6 mètres courants.</w:t>
      </w:r>
    </w:p>
    <w:p w14:paraId="34CBF4B0" w14:textId="77777777" w:rsidR="00AB0DB0" w:rsidRPr="00BF2D66" w:rsidRDefault="00AB0DB0" w:rsidP="00AB0DB0">
      <w:pPr>
        <w:pStyle w:val="TxBrp5"/>
        <w:spacing w:line="276" w:lineRule="auto"/>
        <w:ind w:left="0" w:firstLine="0"/>
        <w:rPr>
          <w:rFonts w:asciiTheme="minorHAnsi" w:hAnsiTheme="minorHAnsi" w:cstheme="minorHAnsi"/>
          <w:sz w:val="22"/>
          <w:szCs w:val="22"/>
          <w:lang w:val="fr-FR"/>
        </w:rPr>
      </w:pPr>
    </w:p>
    <w:p w14:paraId="0F76D683" w14:textId="77777777" w:rsidR="00AB0DB0" w:rsidRPr="00BF2D66" w:rsidRDefault="00AB0DB0" w:rsidP="00AB0DB0">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Assurance de garantie spéciale pour les chantiers de plus de 2.000 m²</w:t>
      </w:r>
    </w:p>
    <w:p w14:paraId="5D101982" w14:textId="77777777" w:rsidR="00AB0DB0" w:rsidRPr="00BF2D66" w:rsidRDefault="00AB0DB0" w:rsidP="00AB0DB0">
      <w:pPr>
        <w:spacing w:line="276" w:lineRule="auto"/>
        <w:ind w:left="360"/>
        <w:rPr>
          <w:rFonts w:asciiTheme="minorHAnsi" w:hAnsiTheme="minorHAnsi" w:cstheme="minorHAnsi"/>
          <w:sz w:val="22"/>
          <w:szCs w:val="22"/>
          <w:lang w:val="fr-FR"/>
        </w:rPr>
      </w:pPr>
    </w:p>
    <w:p w14:paraId="4DAF79BA"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assurance de garantie de 10 ans est prévue par le fabricant du revêtement de sol, tant sur le produit que sur l’exécution.</w:t>
      </w:r>
    </w:p>
    <w:p w14:paraId="5FDDA4D1"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p>
    <w:p w14:paraId="5508D45E"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Cette assurance de garantie n’est cependant octroyée que si le maître de l’ouvrage fait appel à une entreprise de pose reconnue par le fabricant.</w:t>
      </w:r>
    </w:p>
    <w:p w14:paraId="4EC8104F"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À cette fin, l’entrepreneur général / maître de l’ouvrage / entreprise de pose autorisent le fabricant à effectuer des contrôles réguliers sur le chantier, selon une procédure déterminée à l’avance.</w:t>
      </w:r>
    </w:p>
    <w:p w14:paraId="6C2691B2"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p>
    <w:p w14:paraId="1EB04231"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Inscription au cahier des charges</w:t>
      </w:r>
    </w:p>
    <w:p w14:paraId="6AE81443" w14:textId="77777777" w:rsidR="00AB0DB0" w:rsidRPr="00BF2D66" w:rsidRDefault="00AB0DB0" w:rsidP="00AB0DB0">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Adjudication / demande de prix entrepreneur général</w:t>
      </w:r>
    </w:p>
    <w:p w14:paraId="645E2C99" w14:textId="77777777" w:rsidR="00AB0DB0" w:rsidRPr="00BF2D66" w:rsidRDefault="00AB0DB0" w:rsidP="00AB0DB0">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lastRenderedPageBreak/>
        <w:t>Demande au maître de l’ouvrage</w:t>
      </w:r>
    </w:p>
    <w:p w14:paraId="0BE1D6E8"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Demande écrite de la garantie assurée par l’entreprise de pose</w:t>
      </w:r>
    </w:p>
    <w:p w14:paraId="71FE3647"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Conseils techniques</w:t>
      </w:r>
    </w:p>
    <w:p w14:paraId="4075443E"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avant la pose</w:t>
      </w:r>
    </w:p>
    <w:p w14:paraId="6DC7E180"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pendant la pose</w:t>
      </w:r>
    </w:p>
    <w:p w14:paraId="2822E9AE"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définitif et rapport définitif incluant le montant assuré</w:t>
      </w:r>
    </w:p>
    <w:p w14:paraId="5E6B8D8D" w14:textId="77777777" w:rsidR="00AB0DB0" w:rsidRPr="00BF2D66" w:rsidRDefault="00AB0DB0" w:rsidP="00AB0DB0">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Délivrance de la garantie en cas d’avis positif à l’entreprise de pose</w:t>
      </w:r>
    </w:p>
    <w:p w14:paraId="5F225627" w14:textId="77777777" w:rsidR="00AB0DB0" w:rsidRPr="00BF2D66" w:rsidRDefault="00AB0DB0" w:rsidP="00AB0DB0">
      <w:pPr>
        <w:pStyle w:val="TxBrp3"/>
        <w:numPr>
          <w:ilvl w:val="0"/>
          <w:numId w:val="1"/>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Inspection éventuelle en cours de garantie</w:t>
      </w:r>
    </w:p>
    <w:p w14:paraId="435000A4" w14:textId="77777777" w:rsidR="00AB0DB0" w:rsidRPr="00BF2D66" w:rsidRDefault="00AB0DB0" w:rsidP="00AB0DB0">
      <w:pPr>
        <w:pStyle w:val="TxBrp3"/>
        <w:tabs>
          <w:tab w:val="clear" w:pos="204"/>
        </w:tabs>
        <w:spacing w:line="276" w:lineRule="auto"/>
        <w:rPr>
          <w:rFonts w:asciiTheme="minorHAnsi" w:hAnsiTheme="minorHAnsi" w:cstheme="minorHAnsi"/>
          <w:sz w:val="22"/>
          <w:szCs w:val="22"/>
          <w:lang w:val="fr-FR"/>
        </w:rPr>
      </w:pPr>
    </w:p>
    <w:p w14:paraId="6F3571AF" w14:textId="77777777" w:rsidR="00AB0DB0" w:rsidRPr="00BF2D66" w:rsidRDefault="00AB0DB0" w:rsidP="00AB0DB0">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Le fabricant applique les pourcentages d’amortissement suivants, y compris en cas de compensation en nature : </w:t>
      </w:r>
    </w:p>
    <w:p w14:paraId="70574C2B" w14:textId="77777777" w:rsidR="00AB0DB0" w:rsidRPr="00BF2D66" w:rsidRDefault="00AB0DB0" w:rsidP="00AB0DB0">
      <w:pPr>
        <w:pStyle w:val="TxBrp3"/>
        <w:spacing w:line="276" w:lineRule="auto"/>
        <w:rPr>
          <w:rFonts w:asciiTheme="minorHAnsi" w:hAnsiTheme="minorHAnsi" w:cstheme="minorHAnsi"/>
          <w:sz w:val="22"/>
          <w:szCs w:val="22"/>
          <w:lang w:val="fr-FR"/>
        </w:rPr>
      </w:pPr>
    </w:p>
    <w:p w14:paraId="601208BA"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1</w:t>
      </w:r>
      <w:r w:rsidRPr="00BF2D66">
        <w:rPr>
          <w:rFonts w:asciiTheme="minorHAnsi" w:hAnsiTheme="minorHAnsi" w:cstheme="minorHAnsi"/>
          <w:sz w:val="22"/>
          <w:szCs w:val="22"/>
          <w:vertAlign w:val="superscript"/>
          <w:lang w:val="fr-FR"/>
        </w:rPr>
        <w:t>ière</w:t>
      </w:r>
      <w:r w:rsidRPr="00BF2D66">
        <w:rPr>
          <w:rFonts w:asciiTheme="minorHAnsi" w:hAnsiTheme="minorHAnsi" w:cstheme="minorHAnsi"/>
          <w:sz w:val="22"/>
          <w:szCs w:val="22"/>
          <w:lang w:val="fr-FR"/>
        </w:rPr>
        <w:t xml:space="preserve"> année de garantie : remboursement à 100 % du montant total ;</w:t>
      </w:r>
    </w:p>
    <w:p w14:paraId="2EE5B232"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2</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3</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85 % du montant total ;</w:t>
      </w:r>
    </w:p>
    <w:p w14:paraId="3CF1EDD9"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4</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5</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60 % du montant total ;</w:t>
      </w:r>
    </w:p>
    <w:p w14:paraId="283E74D3" w14:textId="77777777" w:rsidR="00AB0DB0" w:rsidRPr="00BF2D66" w:rsidRDefault="00AB0DB0" w:rsidP="00AB0DB0">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6</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7</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30 % du montant total ;</w:t>
      </w:r>
    </w:p>
    <w:p w14:paraId="7F149811" w14:textId="77777777" w:rsidR="00AB0DB0" w:rsidRPr="00BF2D66" w:rsidRDefault="00AB0DB0" w:rsidP="00AB0DB0">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 la 8</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à la 10</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 de garantie : remboursement à 20 % du montant total.</w:t>
      </w:r>
    </w:p>
    <w:p w14:paraId="526192D8" w14:textId="762383FD" w:rsidR="00EE0425" w:rsidRPr="00AB0DB0" w:rsidRDefault="00EE0425" w:rsidP="007C6E8D">
      <w:pPr>
        <w:pStyle w:val="TxBrp4"/>
        <w:spacing w:line="240" w:lineRule="auto"/>
        <w:rPr>
          <w:rFonts w:ascii="Calibri" w:hAnsi="Calibri" w:cs="Arial"/>
          <w:sz w:val="22"/>
          <w:szCs w:val="22"/>
          <w:u w:val="single"/>
          <w:lang w:val="fr-FR"/>
        </w:rPr>
      </w:pPr>
    </w:p>
    <w:sectPr w:rsidR="00EE0425" w:rsidRPr="00AB0DB0" w:rsidSect="00E81DD4">
      <w:headerReference w:type="default" r:id="rId10"/>
      <w:pgSz w:w="12240" w:h="15840"/>
      <w:pgMar w:top="993" w:right="1183" w:bottom="851"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6B3A4" w14:textId="77777777" w:rsidR="001805ED" w:rsidRDefault="001805ED" w:rsidP="00212DC4">
      <w:r>
        <w:separator/>
      </w:r>
    </w:p>
  </w:endnote>
  <w:endnote w:type="continuationSeparator" w:id="0">
    <w:p w14:paraId="79718F9C" w14:textId="77777777" w:rsidR="001805ED" w:rsidRDefault="001805ED"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267B8" w14:textId="77777777" w:rsidR="001805ED" w:rsidRDefault="001805ED" w:rsidP="00212DC4">
      <w:r>
        <w:separator/>
      </w:r>
    </w:p>
  </w:footnote>
  <w:footnote w:type="continuationSeparator" w:id="0">
    <w:p w14:paraId="28239D57" w14:textId="77777777" w:rsidR="001805ED" w:rsidRDefault="001805ED"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0B50" w14:textId="5A78FC88" w:rsidR="004B3B00" w:rsidRDefault="004B3B00">
    <w:pPr>
      <w:pStyle w:val="Koptekst"/>
    </w:pPr>
    <w:r>
      <w:t>Juillet 2025</w:t>
    </w:r>
  </w:p>
  <w:p w14:paraId="6D2E1AAA" w14:textId="77777777" w:rsidR="00625816" w:rsidRPr="00625816" w:rsidRDefault="00625816">
    <w:pPr>
      <w:pStyle w:val="Koptekst"/>
      <w:rPr>
        <w:rFonts w:asciiTheme="minorHAnsi" w:hAnsiTheme="minorHAns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3FC"/>
    <w:multiLevelType w:val="hybridMultilevel"/>
    <w:tmpl w:val="3DECD2C0"/>
    <w:lvl w:ilvl="0" w:tplc="E5CEA924">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4255DB"/>
    <w:multiLevelType w:val="hybridMultilevel"/>
    <w:tmpl w:val="8CE46B3E"/>
    <w:lvl w:ilvl="0" w:tplc="0E04EE1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8233FC"/>
    <w:multiLevelType w:val="hybridMultilevel"/>
    <w:tmpl w:val="F38AACF8"/>
    <w:lvl w:ilvl="0" w:tplc="3DA67FA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357463599">
    <w:abstractNumId w:val="3"/>
  </w:num>
  <w:num w:numId="2" w16cid:durableId="1730495696">
    <w:abstractNumId w:val="2"/>
  </w:num>
  <w:num w:numId="3" w16cid:durableId="732044998">
    <w:abstractNumId w:val="5"/>
  </w:num>
  <w:num w:numId="4" w16cid:durableId="212813948">
    <w:abstractNumId w:val="5"/>
  </w:num>
  <w:num w:numId="5" w16cid:durableId="412749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953995">
    <w:abstractNumId w:val="0"/>
  </w:num>
  <w:num w:numId="7" w16cid:durableId="14113708">
    <w:abstractNumId w:val="1"/>
  </w:num>
  <w:num w:numId="8" w16cid:durableId="174059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2E"/>
    <w:rsid w:val="00001BF4"/>
    <w:rsid w:val="00006EB5"/>
    <w:rsid w:val="00015DD5"/>
    <w:rsid w:val="00024603"/>
    <w:rsid w:val="00032F40"/>
    <w:rsid w:val="00037419"/>
    <w:rsid w:val="00037656"/>
    <w:rsid w:val="00055C04"/>
    <w:rsid w:val="0008136C"/>
    <w:rsid w:val="00081DB4"/>
    <w:rsid w:val="00083FA7"/>
    <w:rsid w:val="00084748"/>
    <w:rsid w:val="00087141"/>
    <w:rsid w:val="000933C0"/>
    <w:rsid w:val="000936A4"/>
    <w:rsid w:val="00097BFA"/>
    <w:rsid w:val="000A172C"/>
    <w:rsid w:val="000A6BC8"/>
    <w:rsid w:val="000A6CC9"/>
    <w:rsid w:val="000B1B4F"/>
    <w:rsid w:val="000B2F16"/>
    <w:rsid w:val="000C6FD8"/>
    <w:rsid w:val="000C770D"/>
    <w:rsid w:val="000D5D8F"/>
    <w:rsid w:val="000E739C"/>
    <w:rsid w:val="000F2D62"/>
    <w:rsid w:val="000F60DD"/>
    <w:rsid w:val="001126DC"/>
    <w:rsid w:val="00113575"/>
    <w:rsid w:val="00122C7D"/>
    <w:rsid w:val="0012532B"/>
    <w:rsid w:val="00125C06"/>
    <w:rsid w:val="00127BE8"/>
    <w:rsid w:val="0014724B"/>
    <w:rsid w:val="0015461C"/>
    <w:rsid w:val="0015513D"/>
    <w:rsid w:val="001556DF"/>
    <w:rsid w:val="00156A68"/>
    <w:rsid w:val="00162F28"/>
    <w:rsid w:val="00165D63"/>
    <w:rsid w:val="001769B0"/>
    <w:rsid w:val="001805ED"/>
    <w:rsid w:val="00180B5C"/>
    <w:rsid w:val="00180B98"/>
    <w:rsid w:val="00181120"/>
    <w:rsid w:val="00181275"/>
    <w:rsid w:val="0019052F"/>
    <w:rsid w:val="001933D2"/>
    <w:rsid w:val="001A14B2"/>
    <w:rsid w:val="001A32BA"/>
    <w:rsid w:val="001A3438"/>
    <w:rsid w:val="001B0E20"/>
    <w:rsid w:val="001B211F"/>
    <w:rsid w:val="001C0AD6"/>
    <w:rsid w:val="001C7F8A"/>
    <w:rsid w:val="001D535B"/>
    <w:rsid w:val="001D746E"/>
    <w:rsid w:val="001E424C"/>
    <w:rsid w:val="001E75E0"/>
    <w:rsid w:val="001F341C"/>
    <w:rsid w:val="00206A97"/>
    <w:rsid w:val="00212DC4"/>
    <w:rsid w:val="0022152B"/>
    <w:rsid w:val="00230755"/>
    <w:rsid w:val="0023206A"/>
    <w:rsid w:val="002357A8"/>
    <w:rsid w:val="00241CBA"/>
    <w:rsid w:val="00246A7D"/>
    <w:rsid w:val="00275668"/>
    <w:rsid w:val="00280877"/>
    <w:rsid w:val="00292AAF"/>
    <w:rsid w:val="002A25C5"/>
    <w:rsid w:val="002A2AB1"/>
    <w:rsid w:val="002B048E"/>
    <w:rsid w:val="002C1D46"/>
    <w:rsid w:val="002C621E"/>
    <w:rsid w:val="002C72DB"/>
    <w:rsid w:val="002D2D39"/>
    <w:rsid w:val="002D60DC"/>
    <w:rsid w:val="002D724C"/>
    <w:rsid w:val="002E3003"/>
    <w:rsid w:val="002F04BB"/>
    <w:rsid w:val="002F15E4"/>
    <w:rsid w:val="00306DEA"/>
    <w:rsid w:val="0031024E"/>
    <w:rsid w:val="00311AD8"/>
    <w:rsid w:val="00312558"/>
    <w:rsid w:val="00317B2D"/>
    <w:rsid w:val="00326B54"/>
    <w:rsid w:val="00347533"/>
    <w:rsid w:val="0035147D"/>
    <w:rsid w:val="003611AC"/>
    <w:rsid w:val="0036125D"/>
    <w:rsid w:val="00370474"/>
    <w:rsid w:val="00375D14"/>
    <w:rsid w:val="0037793E"/>
    <w:rsid w:val="00381FDE"/>
    <w:rsid w:val="00382EBE"/>
    <w:rsid w:val="0038549E"/>
    <w:rsid w:val="00392D52"/>
    <w:rsid w:val="00392DE6"/>
    <w:rsid w:val="003A7435"/>
    <w:rsid w:val="003C2BD5"/>
    <w:rsid w:val="003C44BD"/>
    <w:rsid w:val="003D058C"/>
    <w:rsid w:val="003D12B8"/>
    <w:rsid w:val="003D13E3"/>
    <w:rsid w:val="003D76ED"/>
    <w:rsid w:val="003F14CB"/>
    <w:rsid w:val="003F6CB9"/>
    <w:rsid w:val="00406E34"/>
    <w:rsid w:val="00413317"/>
    <w:rsid w:val="00414333"/>
    <w:rsid w:val="00415123"/>
    <w:rsid w:val="004218D7"/>
    <w:rsid w:val="00430E1D"/>
    <w:rsid w:val="00443774"/>
    <w:rsid w:val="00450AA3"/>
    <w:rsid w:val="00464BCD"/>
    <w:rsid w:val="00470CAC"/>
    <w:rsid w:val="00471F25"/>
    <w:rsid w:val="004766EE"/>
    <w:rsid w:val="00492532"/>
    <w:rsid w:val="004B3B00"/>
    <w:rsid w:val="004B6A39"/>
    <w:rsid w:val="004C59C1"/>
    <w:rsid w:val="004C5A00"/>
    <w:rsid w:val="004C6E14"/>
    <w:rsid w:val="004D0669"/>
    <w:rsid w:val="004D2331"/>
    <w:rsid w:val="004D3587"/>
    <w:rsid w:val="004D7098"/>
    <w:rsid w:val="004E32E3"/>
    <w:rsid w:val="004E3DE3"/>
    <w:rsid w:val="004F228F"/>
    <w:rsid w:val="004F25E3"/>
    <w:rsid w:val="004F635D"/>
    <w:rsid w:val="004F6918"/>
    <w:rsid w:val="0050414B"/>
    <w:rsid w:val="00507F96"/>
    <w:rsid w:val="0051018C"/>
    <w:rsid w:val="00526B8B"/>
    <w:rsid w:val="00526E35"/>
    <w:rsid w:val="00531595"/>
    <w:rsid w:val="00543E38"/>
    <w:rsid w:val="00544BB3"/>
    <w:rsid w:val="00551AA9"/>
    <w:rsid w:val="00561450"/>
    <w:rsid w:val="00587ED8"/>
    <w:rsid w:val="005A07AD"/>
    <w:rsid w:val="005A1FE1"/>
    <w:rsid w:val="005A5A2B"/>
    <w:rsid w:val="005A78A6"/>
    <w:rsid w:val="005B0B5F"/>
    <w:rsid w:val="005C41CC"/>
    <w:rsid w:val="005D04DA"/>
    <w:rsid w:val="005D3A7A"/>
    <w:rsid w:val="005D642F"/>
    <w:rsid w:val="005D72E6"/>
    <w:rsid w:val="005F473A"/>
    <w:rsid w:val="005F5578"/>
    <w:rsid w:val="0060008A"/>
    <w:rsid w:val="00611B95"/>
    <w:rsid w:val="00614860"/>
    <w:rsid w:val="0061563B"/>
    <w:rsid w:val="006214A6"/>
    <w:rsid w:val="00625816"/>
    <w:rsid w:val="006271DB"/>
    <w:rsid w:val="006277AB"/>
    <w:rsid w:val="0063345B"/>
    <w:rsid w:val="00640B2B"/>
    <w:rsid w:val="006421BC"/>
    <w:rsid w:val="00645918"/>
    <w:rsid w:val="006515BD"/>
    <w:rsid w:val="0065164A"/>
    <w:rsid w:val="00653FB3"/>
    <w:rsid w:val="00657722"/>
    <w:rsid w:val="00666A89"/>
    <w:rsid w:val="006724EB"/>
    <w:rsid w:val="00676BF2"/>
    <w:rsid w:val="00691F88"/>
    <w:rsid w:val="006B3457"/>
    <w:rsid w:val="006B6FFE"/>
    <w:rsid w:val="006C1D0C"/>
    <w:rsid w:val="006C2477"/>
    <w:rsid w:val="006E23B8"/>
    <w:rsid w:val="006E71DD"/>
    <w:rsid w:val="006E7927"/>
    <w:rsid w:val="006F5FE7"/>
    <w:rsid w:val="0070009A"/>
    <w:rsid w:val="007004E6"/>
    <w:rsid w:val="0070281C"/>
    <w:rsid w:val="00704FE2"/>
    <w:rsid w:val="0070519E"/>
    <w:rsid w:val="00715CAD"/>
    <w:rsid w:val="0072251D"/>
    <w:rsid w:val="007267FB"/>
    <w:rsid w:val="007300FD"/>
    <w:rsid w:val="00732B4A"/>
    <w:rsid w:val="00733DBE"/>
    <w:rsid w:val="00741727"/>
    <w:rsid w:val="00743857"/>
    <w:rsid w:val="00745593"/>
    <w:rsid w:val="00750DE0"/>
    <w:rsid w:val="0075624D"/>
    <w:rsid w:val="0078473D"/>
    <w:rsid w:val="007A3185"/>
    <w:rsid w:val="007A4084"/>
    <w:rsid w:val="007A59AB"/>
    <w:rsid w:val="007B01BB"/>
    <w:rsid w:val="007B1D85"/>
    <w:rsid w:val="007C26F2"/>
    <w:rsid w:val="007C4EDF"/>
    <w:rsid w:val="007C6E8D"/>
    <w:rsid w:val="007C77FF"/>
    <w:rsid w:val="007C792A"/>
    <w:rsid w:val="007D11B9"/>
    <w:rsid w:val="007D267E"/>
    <w:rsid w:val="007E4C4E"/>
    <w:rsid w:val="007E67BB"/>
    <w:rsid w:val="007F017E"/>
    <w:rsid w:val="007F757A"/>
    <w:rsid w:val="00804A5C"/>
    <w:rsid w:val="008130A7"/>
    <w:rsid w:val="008144F5"/>
    <w:rsid w:val="00823A9B"/>
    <w:rsid w:val="00826843"/>
    <w:rsid w:val="00830328"/>
    <w:rsid w:val="00830861"/>
    <w:rsid w:val="00836EFC"/>
    <w:rsid w:val="008446FA"/>
    <w:rsid w:val="00844921"/>
    <w:rsid w:val="008503DF"/>
    <w:rsid w:val="00856162"/>
    <w:rsid w:val="008566EF"/>
    <w:rsid w:val="00865562"/>
    <w:rsid w:val="00867CDD"/>
    <w:rsid w:val="00884658"/>
    <w:rsid w:val="00887993"/>
    <w:rsid w:val="008935DF"/>
    <w:rsid w:val="0089594F"/>
    <w:rsid w:val="008964FA"/>
    <w:rsid w:val="00897C5B"/>
    <w:rsid w:val="008A335D"/>
    <w:rsid w:val="008A7961"/>
    <w:rsid w:val="008B04F1"/>
    <w:rsid w:val="008B4E2B"/>
    <w:rsid w:val="008B502B"/>
    <w:rsid w:val="008C2BDB"/>
    <w:rsid w:val="008D1604"/>
    <w:rsid w:val="008D2B0C"/>
    <w:rsid w:val="008D40FE"/>
    <w:rsid w:val="008F0120"/>
    <w:rsid w:val="008F0E5F"/>
    <w:rsid w:val="008F20D6"/>
    <w:rsid w:val="009049B3"/>
    <w:rsid w:val="0091681E"/>
    <w:rsid w:val="00917F7F"/>
    <w:rsid w:val="00921D77"/>
    <w:rsid w:val="009315B9"/>
    <w:rsid w:val="00936C05"/>
    <w:rsid w:val="0093729D"/>
    <w:rsid w:val="00940D23"/>
    <w:rsid w:val="009427D1"/>
    <w:rsid w:val="00945B36"/>
    <w:rsid w:val="00951657"/>
    <w:rsid w:val="0095506D"/>
    <w:rsid w:val="009622E3"/>
    <w:rsid w:val="00975B79"/>
    <w:rsid w:val="00975EC5"/>
    <w:rsid w:val="00976B07"/>
    <w:rsid w:val="00984148"/>
    <w:rsid w:val="00987024"/>
    <w:rsid w:val="009959B7"/>
    <w:rsid w:val="009A1DFF"/>
    <w:rsid w:val="009A3D66"/>
    <w:rsid w:val="009A5B31"/>
    <w:rsid w:val="009A756A"/>
    <w:rsid w:val="009B036A"/>
    <w:rsid w:val="009B67B1"/>
    <w:rsid w:val="009C0003"/>
    <w:rsid w:val="009C7E96"/>
    <w:rsid w:val="009D0CE2"/>
    <w:rsid w:val="009D27AD"/>
    <w:rsid w:val="009D2DCF"/>
    <w:rsid w:val="009F0225"/>
    <w:rsid w:val="009F3D3E"/>
    <w:rsid w:val="009F6482"/>
    <w:rsid w:val="00A01B0C"/>
    <w:rsid w:val="00A03C8B"/>
    <w:rsid w:val="00A0573D"/>
    <w:rsid w:val="00A11453"/>
    <w:rsid w:val="00A1708B"/>
    <w:rsid w:val="00A22411"/>
    <w:rsid w:val="00A236ED"/>
    <w:rsid w:val="00A24790"/>
    <w:rsid w:val="00A32AFE"/>
    <w:rsid w:val="00A42F6F"/>
    <w:rsid w:val="00A434A2"/>
    <w:rsid w:val="00A558C4"/>
    <w:rsid w:val="00A609D0"/>
    <w:rsid w:val="00A65622"/>
    <w:rsid w:val="00A66CD0"/>
    <w:rsid w:val="00A71914"/>
    <w:rsid w:val="00A72899"/>
    <w:rsid w:val="00A769BB"/>
    <w:rsid w:val="00A85F33"/>
    <w:rsid w:val="00A90630"/>
    <w:rsid w:val="00A91721"/>
    <w:rsid w:val="00A9666D"/>
    <w:rsid w:val="00AA6919"/>
    <w:rsid w:val="00AA73FB"/>
    <w:rsid w:val="00AB0DB0"/>
    <w:rsid w:val="00AC0C06"/>
    <w:rsid w:val="00AC1E45"/>
    <w:rsid w:val="00AC2FDD"/>
    <w:rsid w:val="00AC78A6"/>
    <w:rsid w:val="00AD21E5"/>
    <w:rsid w:val="00AE4482"/>
    <w:rsid w:val="00AE718A"/>
    <w:rsid w:val="00AF3EB0"/>
    <w:rsid w:val="00B149C6"/>
    <w:rsid w:val="00B22F11"/>
    <w:rsid w:val="00B25EDE"/>
    <w:rsid w:val="00B359EF"/>
    <w:rsid w:val="00B52384"/>
    <w:rsid w:val="00B53BE5"/>
    <w:rsid w:val="00B54A47"/>
    <w:rsid w:val="00B56A90"/>
    <w:rsid w:val="00B57461"/>
    <w:rsid w:val="00B5786F"/>
    <w:rsid w:val="00B72AD0"/>
    <w:rsid w:val="00B81C0F"/>
    <w:rsid w:val="00B821D4"/>
    <w:rsid w:val="00B8494E"/>
    <w:rsid w:val="00BA01D2"/>
    <w:rsid w:val="00BA4BF3"/>
    <w:rsid w:val="00BC4CDD"/>
    <w:rsid w:val="00BD2494"/>
    <w:rsid w:val="00BD5814"/>
    <w:rsid w:val="00BE1A96"/>
    <w:rsid w:val="00BF227C"/>
    <w:rsid w:val="00C029CD"/>
    <w:rsid w:val="00C11B2A"/>
    <w:rsid w:val="00C208F0"/>
    <w:rsid w:val="00C3559B"/>
    <w:rsid w:val="00C411A4"/>
    <w:rsid w:val="00C41B37"/>
    <w:rsid w:val="00C47E56"/>
    <w:rsid w:val="00C678FA"/>
    <w:rsid w:val="00C71001"/>
    <w:rsid w:val="00C72C65"/>
    <w:rsid w:val="00C82C63"/>
    <w:rsid w:val="00C82E42"/>
    <w:rsid w:val="00C914CE"/>
    <w:rsid w:val="00C92395"/>
    <w:rsid w:val="00C97F99"/>
    <w:rsid w:val="00CA74AE"/>
    <w:rsid w:val="00CB339C"/>
    <w:rsid w:val="00CB5B5C"/>
    <w:rsid w:val="00CB71FA"/>
    <w:rsid w:val="00CC42BE"/>
    <w:rsid w:val="00CC6E51"/>
    <w:rsid w:val="00CD2CBB"/>
    <w:rsid w:val="00CE660B"/>
    <w:rsid w:val="00D002FF"/>
    <w:rsid w:val="00D1062E"/>
    <w:rsid w:val="00D334AF"/>
    <w:rsid w:val="00D33D84"/>
    <w:rsid w:val="00D36573"/>
    <w:rsid w:val="00D41D32"/>
    <w:rsid w:val="00D464B4"/>
    <w:rsid w:val="00D46BF7"/>
    <w:rsid w:val="00D471C1"/>
    <w:rsid w:val="00D47FFA"/>
    <w:rsid w:val="00D5590D"/>
    <w:rsid w:val="00D5622D"/>
    <w:rsid w:val="00D56FC6"/>
    <w:rsid w:val="00D573ED"/>
    <w:rsid w:val="00D57FBE"/>
    <w:rsid w:val="00D964E9"/>
    <w:rsid w:val="00DA0C80"/>
    <w:rsid w:val="00DA5DC3"/>
    <w:rsid w:val="00DB7D66"/>
    <w:rsid w:val="00DB7DC4"/>
    <w:rsid w:val="00DC3D85"/>
    <w:rsid w:val="00DD083A"/>
    <w:rsid w:val="00DD139F"/>
    <w:rsid w:val="00DD13C4"/>
    <w:rsid w:val="00DD20C9"/>
    <w:rsid w:val="00DE5094"/>
    <w:rsid w:val="00DE710C"/>
    <w:rsid w:val="00E00243"/>
    <w:rsid w:val="00E107C3"/>
    <w:rsid w:val="00E22F96"/>
    <w:rsid w:val="00E5444B"/>
    <w:rsid w:val="00E61523"/>
    <w:rsid w:val="00E6299A"/>
    <w:rsid w:val="00E66C76"/>
    <w:rsid w:val="00E66C7D"/>
    <w:rsid w:val="00E70811"/>
    <w:rsid w:val="00E7486A"/>
    <w:rsid w:val="00E80EBF"/>
    <w:rsid w:val="00E81DD4"/>
    <w:rsid w:val="00E8308D"/>
    <w:rsid w:val="00E83474"/>
    <w:rsid w:val="00E879EE"/>
    <w:rsid w:val="00E96A4C"/>
    <w:rsid w:val="00E96AF2"/>
    <w:rsid w:val="00E9776B"/>
    <w:rsid w:val="00EA7871"/>
    <w:rsid w:val="00ED55C9"/>
    <w:rsid w:val="00EE0425"/>
    <w:rsid w:val="00EE5DA9"/>
    <w:rsid w:val="00EF1C35"/>
    <w:rsid w:val="00EF3DA1"/>
    <w:rsid w:val="00F00040"/>
    <w:rsid w:val="00F11535"/>
    <w:rsid w:val="00F13CA1"/>
    <w:rsid w:val="00F1465C"/>
    <w:rsid w:val="00F15FCD"/>
    <w:rsid w:val="00F17518"/>
    <w:rsid w:val="00F227EA"/>
    <w:rsid w:val="00F25AEE"/>
    <w:rsid w:val="00F2674A"/>
    <w:rsid w:val="00F3795F"/>
    <w:rsid w:val="00F40501"/>
    <w:rsid w:val="00F4170B"/>
    <w:rsid w:val="00F50B52"/>
    <w:rsid w:val="00F72802"/>
    <w:rsid w:val="00F80FEB"/>
    <w:rsid w:val="00F84DB2"/>
    <w:rsid w:val="00F85B27"/>
    <w:rsid w:val="00F91FAC"/>
    <w:rsid w:val="00F94783"/>
    <w:rsid w:val="00FA1C6B"/>
    <w:rsid w:val="00FA6640"/>
    <w:rsid w:val="00FB04AC"/>
    <w:rsid w:val="00FB3433"/>
    <w:rsid w:val="00FC1273"/>
    <w:rsid w:val="00FC708D"/>
    <w:rsid w:val="00FD4BE3"/>
    <w:rsid w:val="00FD73E7"/>
    <w:rsid w:val="00FD7855"/>
    <w:rsid w:val="00FE2F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FF11"/>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paragraph" w:styleId="Lijstalinea">
    <w:name w:val="List Paragraph"/>
    <w:basedOn w:val="Standaard"/>
    <w:uiPriority w:val="34"/>
    <w:qFormat/>
    <w:rsid w:val="00D46BF7"/>
    <w:pPr>
      <w:ind w:left="720"/>
      <w:contextualSpacing/>
    </w:pPr>
  </w:style>
  <w:style w:type="paragraph" w:customStyle="1" w:styleId="Default">
    <w:name w:val="Default"/>
    <w:rsid w:val="00FB04AC"/>
    <w:pPr>
      <w:autoSpaceDE w:val="0"/>
      <w:autoSpaceDN w:val="0"/>
      <w:adjustRightInd w:val="0"/>
      <w:spacing w:after="0" w:line="240" w:lineRule="auto"/>
    </w:pPr>
    <w:rPr>
      <w:rFonts w:ascii="Myriad Pro" w:hAnsi="Myriad Pro" w:cs="Myriad Pro"/>
      <w:color w:val="000000"/>
      <w:sz w:val="24"/>
      <w:szCs w:val="24"/>
      <w:lang w:val="nl-BE" w:bidi="ar-SA"/>
    </w:rPr>
  </w:style>
  <w:style w:type="paragraph" w:customStyle="1" w:styleId="Pa8">
    <w:name w:val="Pa8"/>
    <w:basedOn w:val="Default"/>
    <w:next w:val="Default"/>
    <w:uiPriority w:val="99"/>
    <w:rsid w:val="00FB04AC"/>
    <w:pPr>
      <w:spacing w:line="241" w:lineRule="atLeast"/>
    </w:pPr>
    <w:rPr>
      <w:rFonts w:cstheme="minorBidi"/>
      <w:color w:val="auto"/>
    </w:rPr>
  </w:style>
  <w:style w:type="character" w:customStyle="1" w:styleId="A9">
    <w:name w:val="A9"/>
    <w:uiPriority w:val="99"/>
    <w:rsid w:val="00FB04AC"/>
    <w:rPr>
      <w:rFonts w:cs="Myriad Pro"/>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25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1305770205">
      <w:bodyDiv w:val="1"/>
      <w:marLeft w:val="0"/>
      <w:marRight w:val="0"/>
      <w:marTop w:val="0"/>
      <w:marBottom w:val="0"/>
      <w:divBdr>
        <w:top w:val="none" w:sz="0" w:space="0" w:color="auto"/>
        <w:left w:val="none" w:sz="0" w:space="0" w:color="auto"/>
        <w:bottom w:val="none" w:sz="0" w:space="0" w:color="auto"/>
        <w:right w:val="none" w:sz="0" w:space="0" w:color="auto"/>
      </w:divBdr>
    </w:div>
    <w:div w:id="1831359543">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907386ff22ca1621919291173b0f0fe0">
  <xsd:schema xmlns:xsd="http://www.w3.org/2001/XMLSchema" xmlns:xs="http://www.w3.org/2001/XMLSchema" xmlns:p="http://schemas.microsoft.com/office/2006/metadata/properties" xmlns:ns3="2ece87ba-673d-4196-bc9c-23d395fcf450" targetNamespace="http://schemas.microsoft.com/office/2006/metadata/properties" ma:root="true" ma:fieldsID="3439b551051ba15ee3bf5b01930f348d"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CCF08-96FB-49EC-AD68-0A246A36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B2605-373C-4E81-8A7B-8279C61B4A2C}">
  <ds:schemaRef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2ece87ba-673d-4196-bc9c-23d395fcf450"/>
    <ds:schemaRef ds:uri="http://www.w3.org/XML/1998/namespace"/>
  </ds:schemaRefs>
</ds:datastoreItem>
</file>

<file path=customXml/itemProps3.xml><?xml version="1.0" encoding="utf-8"?>
<ds:datastoreItem xmlns:ds="http://schemas.openxmlformats.org/officeDocument/2006/customXml" ds:itemID="{6CE409F0-15DA-44A4-94DF-11BA60912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1850</Words>
  <Characters>10180</Characters>
  <Application>Microsoft Office Word</Application>
  <DocSecurity>0</DocSecurity>
  <Lines>84</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Yves.Timmerman@forbo.com</dc:creator>
  <cp:lastModifiedBy>Timmerman Yves</cp:lastModifiedBy>
  <cp:revision>6</cp:revision>
  <cp:lastPrinted>2016-08-29T14:22:00Z</cp:lastPrinted>
  <dcterms:created xsi:type="dcterms:W3CDTF">2025-07-16T15:11:00Z</dcterms:created>
  <dcterms:modified xsi:type="dcterms:W3CDTF">2025-07-17T07:36:00Z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