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7EE2D" w14:textId="77777777" w:rsidR="00A46BE2" w:rsidRPr="00140029" w:rsidRDefault="00140029">
      <w:pPr>
        <w:pStyle w:val="Titre1"/>
        <w:rPr>
          <w:lang w:val="fr-FR"/>
        </w:rPr>
      </w:pPr>
      <w:bookmarkStart w:id="0" w:name="descriptif-type-coral-duo"/>
      <w:bookmarkEnd w:id="0"/>
      <w:r w:rsidRPr="00140029">
        <w:rPr>
          <w:lang w:val="fr-FR"/>
        </w:rPr>
        <w:t>Descriptif type : Coral duo</w:t>
      </w:r>
    </w:p>
    <w:p w14:paraId="194BB8CB" w14:textId="77777777" w:rsidR="003D1142" w:rsidRDefault="00140029">
      <w:pPr>
        <w:pStyle w:val="FirstParagraph"/>
        <w:rPr>
          <w:b/>
          <w:lang w:val="fr-FR"/>
        </w:rPr>
      </w:pPr>
      <w:r w:rsidRPr="00140029">
        <w:rPr>
          <w:b/>
          <w:lang w:val="fr-FR"/>
        </w:rPr>
        <w:t>Tapis de propreté en textile tufté en rouleaux bordés</w:t>
      </w:r>
    </w:p>
    <w:p w14:paraId="5D8AF6A0" w14:textId="037E2485" w:rsidR="00140029" w:rsidRDefault="00140029">
      <w:pPr>
        <w:pStyle w:val="FirstParagraph"/>
        <w:rPr>
          <w:lang w:val="fr-FR"/>
        </w:rPr>
      </w:pPr>
      <w:r w:rsidRPr="00140029">
        <w:rPr>
          <w:lang w:val="fr-FR"/>
        </w:rPr>
        <w:t>Fourniture d’un tapis de propreté en textile tufté à velours coupé de type Coral Duo en rouleaux bordés.</w:t>
      </w:r>
      <w:r w:rsidRPr="00140029">
        <w:rPr>
          <w:lang w:val="fr-FR"/>
        </w:rPr>
        <w:br/>
      </w:r>
      <w:r w:rsidRPr="00140029">
        <w:rPr>
          <w:lang w:val="fr-FR"/>
        </w:rPr>
        <w:br/>
        <w:t xml:space="preserve">Il sera composé d’un velours coupé associant des fibres polyamide régénérées </w:t>
      </w:r>
      <w:proofErr w:type="spellStart"/>
      <w:r w:rsidRPr="00140029">
        <w:rPr>
          <w:lang w:val="fr-FR"/>
        </w:rPr>
        <w:t>Econyl</w:t>
      </w:r>
      <w:proofErr w:type="spellEnd"/>
      <w:r w:rsidRPr="00140029">
        <w:rPr>
          <w:lang w:val="fr-FR"/>
        </w:rPr>
        <w:t xml:space="preserve"> à 75% et polyamide BCF teintées masse à 25 %. Il sera accessible aux personnes à mobilité réduite, avec cadres à encastrer ou rampe anti-butoirs. Coral® Duo FR est traité anti-feu ; sa sous-couche latex renforcera sa résistance à la propagation des flammes et permettra au produit de bénéficier d’un classement </w:t>
      </w:r>
      <w:proofErr w:type="spellStart"/>
      <w:r w:rsidRPr="00140029">
        <w:rPr>
          <w:lang w:val="fr-FR"/>
        </w:rPr>
        <w:t>B</w:t>
      </w:r>
      <w:r w:rsidRPr="00140029">
        <w:rPr>
          <w:vertAlign w:val="subscript"/>
          <w:lang w:val="fr-FR"/>
        </w:rPr>
        <w:t>fl</w:t>
      </w:r>
      <w:proofErr w:type="spellEnd"/>
      <w:r w:rsidRPr="00140029">
        <w:rPr>
          <w:lang w:val="fr-FR"/>
        </w:rPr>
        <w:t>- s1.</w:t>
      </w:r>
      <w:r w:rsidRPr="00140029">
        <w:rPr>
          <w:lang w:val="fr-FR"/>
        </w:rPr>
        <w:br/>
      </w:r>
      <w:r w:rsidRPr="00140029">
        <w:rPr>
          <w:lang w:val="fr-FR"/>
        </w:rPr>
        <w:br/>
        <w:t>Sa structure et ses fibres lui garantiront une efficacité remarquable (rétention de 85 % des salissures pour 4 ml), particulièrement efficace pour l’absorption de l’humidité mais aussi la rétention de la saleté sur de petits espaces. Ses caractéristiques lui confèreront une grande résistance au trafic intense.</w:t>
      </w:r>
      <w:r w:rsidRPr="00140029">
        <w:rPr>
          <w:lang w:val="fr-FR"/>
        </w:rPr>
        <w:br/>
      </w:r>
      <w:r w:rsidRPr="00140029">
        <w:rPr>
          <w:lang w:val="fr-FR"/>
        </w:rPr>
        <w:br/>
        <w:t>Il bénéficiera d’une garantie de 7 ans.</w:t>
      </w:r>
    </w:p>
    <w:p w14:paraId="2498FAA2" w14:textId="166A8549" w:rsidR="00A46BE2" w:rsidRDefault="00140029">
      <w:pPr>
        <w:pStyle w:val="FirstParagraph"/>
      </w:pPr>
      <w:r w:rsidRPr="00140029">
        <w:rPr>
          <w:lang w:val="fr-FR"/>
        </w:rPr>
        <w:br/>
      </w:r>
      <w:r w:rsidRPr="00140029">
        <w:rPr>
          <w:b/>
          <w:lang w:val="fr-FR"/>
        </w:rPr>
        <w:t>Mode de pose</w:t>
      </w:r>
      <w:r w:rsidRPr="00140029">
        <w:rPr>
          <w:lang w:val="fr-FR"/>
        </w:rPr>
        <w:br/>
      </w:r>
      <w:r w:rsidRPr="00140029">
        <w:rPr>
          <w:lang w:val="fr-FR"/>
        </w:rPr>
        <w:br/>
        <w:t xml:space="preserve">Pour une pose collée : Mise en œuvre et type de colle (type 540 </w:t>
      </w:r>
      <w:proofErr w:type="spellStart"/>
      <w:r w:rsidRPr="00140029">
        <w:rPr>
          <w:lang w:val="fr-FR"/>
        </w:rPr>
        <w:t>Eurosafe</w:t>
      </w:r>
      <w:proofErr w:type="spellEnd"/>
      <w:r w:rsidRPr="00140029">
        <w:rPr>
          <w:lang w:val="fr-FR"/>
        </w:rPr>
        <w:t xml:space="preserve"> </w:t>
      </w:r>
      <w:proofErr w:type="spellStart"/>
      <w:r w:rsidRPr="00140029">
        <w:rPr>
          <w:lang w:val="fr-FR"/>
        </w:rPr>
        <w:t>special</w:t>
      </w:r>
      <w:proofErr w:type="spellEnd"/>
      <w:r w:rsidRPr="00140029">
        <w:rPr>
          <w:lang w:val="fr-FR"/>
        </w:rPr>
        <w:t>) suivant préconisation du fabriquant et dans le respect du NF DTU 53.12. Dans le cas d’une pose sur terre-plein, l’entreprise prendra les dispositions nécessaires de préparation de support pour réaliser une barrière anti-humidité selon les prescriptions du DTU 53.12.</w:t>
      </w:r>
      <w:r w:rsidRPr="00140029">
        <w:rPr>
          <w:lang w:val="fr-FR"/>
        </w:rPr>
        <w:br/>
      </w:r>
      <w:r w:rsidRPr="00140029">
        <w:rPr>
          <w:lang w:val="fr-FR"/>
        </w:rPr>
        <w:br/>
      </w:r>
      <w:proofErr w:type="spellStart"/>
      <w:r>
        <w:rPr>
          <w:b/>
        </w:rPr>
        <w:t>Données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environnementales</w:t>
      </w:r>
      <w:proofErr w:type="spellEnd"/>
    </w:p>
    <w:p w14:paraId="1BD3DADE" w14:textId="77777777" w:rsidR="00A46BE2" w:rsidRPr="00140029" w:rsidRDefault="00140029">
      <w:pPr>
        <w:pStyle w:val="Compact"/>
        <w:numPr>
          <w:ilvl w:val="0"/>
          <w:numId w:val="3"/>
        </w:numPr>
        <w:rPr>
          <w:lang w:val="fr-FR"/>
        </w:rPr>
      </w:pPr>
      <w:r w:rsidRPr="00140029">
        <w:rPr>
          <w:lang w:val="fr-FR"/>
        </w:rPr>
        <w:t>FDES conforme à la norme NF EN ISO 14025, à la NF EN 15804+A1 et à son complément national NF EN 15804/CN et consultable sur INIES.</w:t>
      </w:r>
    </w:p>
    <w:p w14:paraId="29802B1A" w14:textId="77777777" w:rsidR="00A46BE2" w:rsidRPr="00140029" w:rsidRDefault="00140029">
      <w:pPr>
        <w:pStyle w:val="Compact"/>
        <w:numPr>
          <w:ilvl w:val="0"/>
          <w:numId w:val="3"/>
        </w:numPr>
        <w:rPr>
          <w:lang w:val="fr-FR"/>
        </w:rPr>
      </w:pPr>
      <w:r w:rsidRPr="00140029">
        <w:rPr>
          <w:lang w:val="fr-FR"/>
        </w:rPr>
        <w:t xml:space="preserve">Taux d’émission de TVOC &lt; 50 </w:t>
      </w:r>
      <w:r>
        <w:t>μ</w:t>
      </w:r>
      <w:r w:rsidRPr="00140029">
        <w:rPr>
          <w:lang w:val="fr-FR"/>
        </w:rPr>
        <w:t>g/m</w:t>
      </w:r>
      <w:r w:rsidRPr="00140029">
        <w:rPr>
          <w:vertAlign w:val="superscript"/>
          <w:lang w:val="fr-FR"/>
        </w:rPr>
        <w:t>3</w:t>
      </w:r>
      <w:r w:rsidRPr="00140029">
        <w:rPr>
          <w:lang w:val="fr-FR"/>
        </w:rPr>
        <w:t>, classe A+ (meilleure classe de l'étiquetage sanitaire).</w:t>
      </w:r>
    </w:p>
    <w:p w14:paraId="35023D9E" w14:textId="77777777" w:rsidR="00A46BE2" w:rsidRPr="00140029" w:rsidRDefault="00140029">
      <w:pPr>
        <w:pStyle w:val="Compact"/>
        <w:numPr>
          <w:ilvl w:val="0"/>
          <w:numId w:val="3"/>
        </w:numPr>
        <w:rPr>
          <w:lang w:val="fr-FR"/>
        </w:rPr>
      </w:pPr>
      <w:r w:rsidRPr="00140029">
        <w:rPr>
          <w:lang w:val="fr-FR"/>
        </w:rPr>
        <w:t xml:space="preserve">Produit exempt de toute substance sujette à restriction (formaldéhyde, </w:t>
      </w:r>
      <w:proofErr w:type="spellStart"/>
      <w:r w:rsidRPr="00140029">
        <w:rPr>
          <w:lang w:val="fr-FR"/>
        </w:rPr>
        <w:t>pentachlorophénol</w:t>
      </w:r>
      <w:proofErr w:type="spellEnd"/>
      <w:r w:rsidRPr="00140029">
        <w:rPr>
          <w:lang w:val="fr-FR"/>
        </w:rPr>
        <w:t>, Métaux lourds, CMR 1A et 1B) ; conforme au règlement européen REACH*.</w:t>
      </w:r>
    </w:p>
    <w:p w14:paraId="3202A094" w14:textId="77777777" w:rsidR="00A46BE2" w:rsidRPr="00140029" w:rsidRDefault="00140029">
      <w:pPr>
        <w:pStyle w:val="Compact"/>
        <w:numPr>
          <w:ilvl w:val="0"/>
          <w:numId w:val="3"/>
        </w:numPr>
        <w:rPr>
          <w:lang w:val="fr-FR"/>
        </w:rPr>
      </w:pPr>
      <w:r w:rsidRPr="00140029">
        <w:rPr>
          <w:lang w:val="fr-FR"/>
        </w:rPr>
        <w:t>Conçu et fabriqué à partir d'électricité garantie d'origine 100 % renouvelable.</w:t>
      </w:r>
    </w:p>
    <w:p w14:paraId="29D720DD" w14:textId="77777777" w:rsidR="00A46BE2" w:rsidRDefault="00140029">
      <w:pPr>
        <w:pStyle w:val="Compact"/>
        <w:numPr>
          <w:ilvl w:val="0"/>
          <w:numId w:val="3"/>
        </w:numPr>
      </w:pPr>
      <w:proofErr w:type="spellStart"/>
      <w:r>
        <w:t>Envers</w:t>
      </w:r>
      <w:proofErr w:type="spellEnd"/>
      <w:r>
        <w:t xml:space="preserve"> 100 % PVC.</w:t>
      </w:r>
    </w:p>
    <w:p w14:paraId="3D14829F" w14:textId="42A7B24B" w:rsidR="00A46BE2" w:rsidRPr="00140029" w:rsidRDefault="00140029">
      <w:pPr>
        <w:pStyle w:val="FirstParagraph"/>
        <w:rPr>
          <w:lang w:val="fr-FR"/>
        </w:rPr>
      </w:pPr>
      <w:r w:rsidRPr="00140029">
        <w:rPr>
          <w:lang w:val="fr-FR"/>
        </w:rPr>
        <w:br/>
      </w:r>
      <w:r w:rsidRPr="00140029">
        <w:rPr>
          <w:i/>
          <w:lang w:val="fr-FR"/>
        </w:rPr>
        <w:t>* Les articles (produits) ne contiennent pas de substances de la liste candidate en vigueur publiée par l'ECHA (substances très préoccupantes) à déclarer dans le cadre de règlement REACH.</w:t>
      </w:r>
    </w:p>
    <w:sectPr w:rsidR="00A46BE2" w:rsidRPr="00140029">
      <w:pgSz w:w="12240" w:h="15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42285A" w14:textId="77777777" w:rsidR="00A32961" w:rsidRDefault="00140029">
      <w:pPr>
        <w:spacing w:after="0"/>
      </w:pPr>
      <w:r>
        <w:separator/>
      </w:r>
    </w:p>
  </w:endnote>
  <w:endnote w:type="continuationSeparator" w:id="0">
    <w:p w14:paraId="444BFB4E" w14:textId="77777777" w:rsidR="00A32961" w:rsidRDefault="001400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E3DA6A" w14:textId="77777777" w:rsidR="00A46BE2" w:rsidRDefault="00140029">
      <w:r>
        <w:separator/>
      </w:r>
    </w:p>
  </w:footnote>
  <w:footnote w:type="continuationSeparator" w:id="0">
    <w:p w14:paraId="4E3F4A08" w14:textId="77777777" w:rsidR="00A46BE2" w:rsidRDefault="001400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BC81835"/>
    <w:multiLevelType w:val="multilevel"/>
    <w:tmpl w:val="3A98622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CE096C3E"/>
    <w:multiLevelType w:val="multilevel"/>
    <w:tmpl w:val="19E84D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17F69BA"/>
    <w:multiLevelType w:val="multilevel"/>
    <w:tmpl w:val="FA6A799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D07"/>
    <w:rsid w:val="00011C8B"/>
    <w:rsid w:val="00140029"/>
    <w:rsid w:val="003D1142"/>
    <w:rsid w:val="004E29B3"/>
    <w:rsid w:val="00590D07"/>
    <w:rsid w:val="00784D58"/>
    <w:rsid w:val="008D6863"/>
    <w:rsid w:val="00A32961"/>
    <w:rsid w:val="00A46BE2"/>
    <w:rsid w:val="00B86B75"/>
    <w:rsid w:val="00BC48D5"/>
    <w:rsid w:val="00C36279"/>
    <w:rsid w:val="00E315A3"/>
    <w:rsid w:val="00EB6D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6F2D8"/>
  <w15:docId w15:val="{86230D4F-5BE7-43C0-A56E-B77BF36EC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Corpsdetex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Corpsdetexte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re3">
    <w:name w:val="heading 3"/>
    <w:basedOn w:val="Normal"/>
    <w:next w:val="Corpsdetexte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re4">
    <w:name w:val="heading 4"/>
    <w:basedOn w:val="Normal"/>
    <w:next w:val="Corpsdetexte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5">
    <w:name w:val="heading 5"/>
    <w:basedOn w:val="Normal"/>
    <w:next w:val="Corpsdetexte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6">
    <w:name w:val="heading 6"/>
    <w:basedOn w:val="Normal"/>
    <w:next w:val="Corpsdetex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Corpsdetexte"/>
    <w:next w:val="Corpsdetexte"/>
    <w:qFormat/>
  </w:style>
  <w:style w:type="paragraph" w:customStyle="1" w:styleId="Compact">
    <w:name w:val="Compact"/>
    <w:basedOn w:val="Corpsdetexte"/>
    <w:qFormat/>
    <w:pPr>
      <w:spacing w:before="36" w:after="36"/>
    </w:pPr>
  </w:style>
  <w:style w:type="paragraph" w:styleId="Titre">
    <w:name w:val="Title"/>
    <w:basedOn w:val="Normal"/>
    <w:next w:val="Corpsdetex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us-titre">
    <w:name w:val="Subtitle"/>
    <w:basedOn w:val="Titre"/>
    <w:next w:val="Corpsdetex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sdetexte"/>
    <w:qFormat/>
    <w:pPr>
      <w:keepNext/>
      <w:keepLines/>
      <w:jc w:val="center"/>
    </w:pPr>
  </w:style>
  <w:style w:type="paragraph" w:styleId="Date">
    <w:name w:val="Date"/>
    <w:next w:val="Corpsdetex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Corpsdetexte"/>
    <w:qFormat/>
    <w:pPr>
      <w:keepNext/>
      <w:keepLines/>
      <w:spacing w:before="300" w:after="300"/>
    </w:pPr>
    <w:rPr>
      <w:sz w:val="20"/>
      <w:szCs w:val="20"/>
    </w:rPr>
  </w:style>
  <w:style w:type="paragraph" w:styleId="Bibliographie">
    <w:name w:val="Bibliography"/>
    <w:basedOn w:val="Normal"/>
    <w:qFormat/>
  </w:style>
  <w:style w:type="paragraph" w:styleId="Normalcentr">
    <w:name w:val="Block Text"/>
    <w:basedOn w:val="Corpsdetexte"/>
    <w:next w:val="Corpsdetex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Notedebasdepag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Lgende">
    <w:name w:val="caption"/>
    <w:basedOn w:val="Normal"/>
    <w:link w:val="LgendeCar"/>
    <w:pPr>
      <w:spacing w:after="120"/>
    </w:pPr>
    <w:rPr>
      <w:i/>
    </w:rPr>
  </w:style>
  <w:style w:type="paragraph" w:customStyle="1" w:styleId="TableCaption">
    <w:name w:val="Table Caption"/>
    <w:basedOn w:val="Lgende"/>
    <w:pPr>
      <w:keepNext/>
    </w:pPr>
  </w:style>
  <w:style w:type="paragraph" w:customStyle="1" w:styleId="ImageCaption">
    <w:name w:val="Image Caption"/>
    <w:basedOn w:val="Lgende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LgendeCar">
    <w:name w:val="Légende Car"/>
    <w:basedOn w:val="Policepardfaut"/>
    <w:link w:val="Lgende"/>
  </w:style>
  <w:style w:type="character" w:customStyle="1" w:styleId="VerbatimChar">
    <w:name w:val="Verbatim Char"/>
    <w:basedOn w:val="LgendeCar"/>
    <w:link w:val="SourceCode"/>
    <w:rPr>
      <w:rFonts w:ascii="Consolas" w:hAnsi="Consolas"/>
      <w:sz w:val="22"/>
    </w:rPr>
  </w:style>
  <w:style w:type="character" w:styleId="Appelnotedebasdep">
    <w:name w:val="footnote reference"/>
    <w:basedOn w:val="LgendeCar"/>
    <w:rPr>
      <w:vertAlign w:val="superscript"/>
    </w:rPr>
  </w:style>
  <w:style w:type="character" w:styleId="Lienhypertexte">
    <w:name w:val="Hyperlink"/>
    <w:basedOn w:val="LgendeCar"/>
    <w:rPr>
      <w:color w:val="4F81BD" w:themeColor="accent1"/>
    </w:rPr>
  </w:style>
  <w:style w:type="paragraph" w:styleId="En-ttedetabledesmatires">
    <w:name w:val="TOC Heading"/>
    <w:basedOn w:val="Titre1"/>
    <w:next w:val="Corpsdetex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1700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Legroux, Geoffrey</cp:lastModifiedBy>
  <cp:revision>4</cp:revision>
  <dcterms:created xsi:type="dcterms:W3CDTF">2021-11-18T13:51:00Z</dcterms:created>
  <dcterms:modified xsi:type="dcterms:W3CDTF">2021-11-18T16:56:00Z</dcterms:modified>
</cp:coreProperties>
</file>