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9"/>
      </w:tblGrid>
      <w:tr w:rsidR="00B749E1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9"/>
            </w:tblGrid>
            <w:tr w:rsidR="00B749E1">
              <w:trPr>
                <w:trHeight w:hRule="exact" w:val="1247"/>
              </w:trPr>
              <w:tc>
                <w:tcPr>
                  <w:tcW w:w="6889" w:type="dxa"/>
                </w:tcPr>
                <w:p w:rsidR="00B749E1" w:rsidRDefault="00CD135B">
                  <w:pPr>
                    <w:pStyle w:val="TitleRef"/>
                  </w:pPr>
                  <w:r>
                    <w:t>Comunicato stampa</w:t>
                  </w:r>
                </w:p>
              </w:tc>
            </w:tr>
            <w:tr w:rsidR="00B749E1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6889" w:type="dxa"/>
                  <w:tcBorders>
                    <w:top w:val="nil"/>
                    <w:bottom w:val="single" w:sz="2" w:space="0" w:color="auto"/>
                  </w:tcBorders>
                </w:tcPr>
                <w:p w:rsidR="00B749E1" w:rsidRDefault="00CD135B">
                  <w:pPr>
                    <w:pStyle w:val="Page"/>
                  </w:pPr>
                  <w:r>
                    <w:t xml:space="preserve">Pagina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t xml:space="preserve"> di </w:t>
                  </w:r>
                  <w:fldSimple w:instr=" NUMPAGES  \* MERGEFORMAT ">
                    <w:r>
                      <w:t>1</w:t>
                    </w:r>
                  </w:fldSimple>
                </w:p>
              </w:tc>
            </w:tr>
            <w:tr w:rsidR="00B749E1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6889" w:type="dxa"/>
                  <w:tcBorders>
                    <w:top w:val="single" w:sz="2" w:space="0" w:color="auto"/>
                    <w:bottom w:val="nil"/>
                  </w:tcBorders>
                </w:tcPr>
                <w:p w:rsidR="00B749E1" w:rsidRDefault="00B749E1">
                  <w:pPr>
                    <w:rPr>
                      <w:lang w:val="en-US"/>
                    </w:rPr>
                  </w:pPr>
                </w:p>
              </w:tc>
            </w:tr>
            <w:tr w:rsidR="00B749E1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6889" w:type="dxa"/>
                  <w:tcBorders>
                    <w:top w:val="single" w:sz="2" w:space="0" w:color="auto"/>
                    <w:bottom w:val="nil"/>
                  </w:tcBorders>
                </w:tcPr>
                <w:p w:rsidR="00B749E1" w:rsidRDefault="00B749E1">
                  <w:pPr>
                    <w:rPr>
                      <w:lang w:val="en-US"/>
                    </w:rPr>
                  </w:pPr>
                </w:p>
              </w:tc>
            </w:tr>
            <w:tr w:rsidR="00B749E1">
              <w:tblPrEx>
                <w:tblBorders>
                  <w:insideH w:val="single" w:sz="2" w:space="0" w:color="auto"/>
                </w:tblBorders>
              </w:tblPrEx>
              <w:tc>
                <w:tcPr>
                  <w:tcW w:w="6889" w:type="dxa"/>
                  <w:tcBorders>
                    <w:top w:val="nil"/>
                    <w:bottom w:val="nil"/>
                  </w:tcBorders>
                </w:tcPr>
                <w:p w:rsidR="00B749E1" w:rsidRDefault="00CD135B" w:rsidP="00820724">
                  <w:pPr>
                    <w:pStyle w:val="Subject"/>
                  </w:pPr>
                  <w:proofErr w:type="spellStart"/>
                  <w:r>
                    <w:t>Prolink</w:t>
                  </w:r>
                  <w:proofErr w:type="spellEnd"/>
                  <w:r>
                    <w:t xml:space="preserve"> Serie 15: il nuovo e resistente nastro modulare </w:t>
                  </w:r>
                  <w:r w:rsidR="00820724">
                    <w:t>con passo ridotto</w:t>
                  </w:r>
                  <w:r>
                    <w:t xml:space="preserve"> </w:t>
                  </w:r>
                  <w:r w:rsidR="006A1B55">
                    <w:t xml:space="preserve">per </w:t>
                  </w:r>
                  <w:r>
                    <w:t>raffreddamento e</w:t>
                  </w:r>
                  <w:r w:rsidR="00820724">
                    <w:t>d</w:t>
                  </w:r>
                  <w:r>
                    <w:t xml:space="preserve"> </w:t>
                  </w:r>
                  <w:r w:rsidR="00820724">
                    <w:t>essicazione</w:t>
                  </w:r>
                </w:p>
              </w:tc>
            </w:tr>
          </w:tbl>
          <w:p w:rsidR="00B749E1" w:rsidRPr="006A1B55" w:rsidRDefault="00B749E1"/>
        </w:tc>
      </w:tr>
    </w:tbl>
    <w:p w:rsidR="00B749E1" w:rsidRDefault="00CD135B">
      <w:pPr>
        <w:pStyle w:val="Page"/>
      </w:pPr>
      <w:r>
        <w:t>[lead]</w:t>
      </w:r>
    </w:p>
    <w:p w:rsidR="00B749E1" w:rsidRDefault="00CD135B">
      <w:pPr>
        <w:pStyle w:val="PressReleaseText"/>
      </w:pPr>
      <w:r>
        <w:t xml:space="preserve">La nuova serie </w:t>
      </w:r>
      <w:proofErr w:type="spellStart"/>
      <w:r>
        <w:t>Prolink</w:t>
      </w:r>
      <w:proofErr w:type="spellEnd"/>
      <w:r>
        <w:t xml:space="preserve"> 15 di </w:t>
      </w:r>
      <w:proofErr w:type="spellStart"/>
      <w:r>
        <w:t>Forbo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Systems offre due diverse </w:t>
      </w:r>
      <w:r w:rsidR="006A1B55">
        <w:t>superfici</w:t>
      </w:r>
      <w:r>
        <w:t xml:space="preserve">: </w:t>
      </w:r>
      <w:proofErr w:type="spellStart"/>
      <w:r>
        <w:t>Grid</w:t>
      </w:r>
      <w:proofErr w:type="spellEnd"/>
      <w:r>
        <w:t xml:space="preserve"> Top (GRT) e </w:t>
      </w:r>
      <w:proofErr w:type="spellStart"/>
      <w:r>
        <w:t>Reduced</w:t>
      </w:r>
      <w:proofErr w:type="spellEnd"/>
      <w:r>
        <w:t xml:space="preserve"> Surface Area (RSA). Grazie a</w:t>
      </w:r>
      <w:r w:rsidR="00820724">
        <w:t xml:space="preserve">lla superficie </w:t>
      </w:r>
      <w:r>
        <w:t>apert</w:t>
      </w:r>
      <w:r w:rsidR="00820724">
        <w:t xml:space="preserve">a </w:t>
      </w:r>
      <w:r>
        <w:t>pari al 47%, sono ideali per tutti</w:t>
      </w:r>
      <w:r w:rsidR="00820724">
        <w:t xml:space="preserve"> i processi di raffreddamento ed essicazione </w:t>
      </w:r>
      <w:r>
        <w:t>nell’industria alimentare, in cui un flusso d’aria ottimale è di vitale importanza.</w:t>
      </w:r>
    </w:p>
    <w:p w:rsidR="00B749E1" w:rsidRDefault="00CD135B">
      <w:pPr>
        <w:pStyle w:val="Page"/>
      </w:pPr>
      <w:r>
        <w:t>[Corpo]</w:t>
      </w:r>
    </w:p>
    <w:p w:rsidR="00B749E1" w:rsidRDefault="00CD135B">
      <w:pPr>
        <w:pStyle w:val="PressReleaseText"/>
      </w:pPr>
      <w:r>
        <w:t>La nuova serie 15 ha un passo di 12,7 mm, quindi garantisce uno scorrimento fluido anche sui ritorni più piccoli e offre una serie di vantaggi, quali maggiore sicurezza (grazie alla protezione per le dita) e processi di produzione impeccabili (</w:t>
      </w:r>
      <w:r w:rsidR="006A1B55">
        <w:t>in quanto</w:t>
      </w:r>
      <w:r>
        <w:t xml:space="preserve"> i prodotti fragili e di dimensioni ridotte vengono movimentati delicatamente). Il </w:t>
      </w:r>
      <w:r w:rsidR="006A1B55">
        <w:t>performante</w:t>
      </w:r>
      <w:r>
        <w:t xml:space="preserve"> sistema di </w:t>
      </w:r>
      <w:r w:rsidR="006A1B55">
        <w:t>bloccaggio</w:t>
      </w:r>
      <w:r>
        <w:t xml:space="preserve"> dei perni </w:t>
      </w:r>
      <w:r w:rsidR="006A1B55">
        <w:t xml:space="preserve">ed i </w:t>
      </w:r>
      <w:r>
        <w:t>moduli laterali solidi e resistenti</w:t>
      </w:r>
      <w:r w:rsidR="006A1B55">
        <w:t>,</w:t>
      </w:r>
      <w:r>
        <w:t xml:space="preserve"> danno come risultato un nastro sicuro e affi</w:t>
      </w:r>
      <w:r w:rsidR="006A1B55">
        <w:t xml:space="preserve">dabile. Inoltre, l’apertura delle cerniere </w:t>
      </w:r>
      <w:r>
        <w:t xml:space="preserve">è molto ampia, </w:t>
      </w:r>
      <w:r w:rsidR="006A1B55">
        <w:t xml:space="preserve">il che facilita </w:t>
      </w:r>
      <w:r>
        <w:t>le operazioni di pulizia. Entrambi i modelli sono conformi al CFR 21 della FDA e alle direttive 10/2011 (UE) e 1935/2004 (CE) sui materiali usati e sui livelli di migrazione</w:t>
      </w:r>
      <w:r w:rsidR="006A1B55">
        <w:t>.</w:t>
      </w:r>
      <w:r>
        <w:t xml:space="preserve"> </w:t>
      </w:r>
      <w:r w:rsidR="006A1B55">
        <w:t xml:space="preserve">Supporta inoltre pienamente </w:t>
      </w:r>
      <w:bookmarkStart w:id="0" w:name="_GoBack"/>
      <w:bookmarkEnd w:id="0"/>
      <w:r>
        <w:t>i principi HACCP.</w:t>
      </w:r>
    </w:p>
    <w:p w:rsidR="00B749E1" w:rsidRDefault="00CD135B">
      <w:pPr>
        <w:pStyle w:val="PressReleaseText"/>
      </w:pPr>
      <w:r>
        <w:t xml:space="preserve"> </w:t>
      </w:r>
    </w:p>
    <w:p w:rsidR="00B749E1" w:rsidRDefault="00CD135B">
      <w:pPr>
        <w:pStyle w:val="PressReleaseText"/>
      </w:pPr>
      <w:r>
        <w:t xml:space="preserve">Entrambi i nastri sono la soluzione ideale per linee di raffreddamento a più livelli e tunnel di raffreddamento (nella lavorazione di </w:t>
      </w:r>
      <w:r w:rsidR="00276A55">
        <w:t>dolci</w:t>
      </w:r>
      <w:r>
        <w:t xml:space="preserve"> e impasti), ma anche per il caricamento e lo scaricamento di forni. </w:t>
      </w:r>
      <w:r w:rsidR="00276A55">
        <w:t>La superficie aperta</w:t>
      </w:r>
      <w:r>
        <w:t xml:space="preserve"> consente di massimizzare il flusso dell’aria, mentre l’area di contatto minima </w:t>
      </w:r>
      <w:r>
        <w:lastRenderedPageBreak/>
        <w:t xml:space="preserve">(solo il 20% nella versione RSA) garantisce l’assenza di problemi di condensa. Di conseguenza, i prodotti hanno una qualità migliore e sono più durevoli. </w:t>
      </w:r>
    </w:p>
    <w:p w:rsidR="00B749E1" w:rsidRPr="006A1B55" w:rsidRDefault="00B749E1">
      <w:pPr>
        <w:pStyle w:val="PressReleaseText"/>
      </w:pPr>
    </w:p>
    <w:p w:rsidR="00B749E1" w:rsidRDefault="00CD135B">
      <w:pPr>
        <w:pStyle w:val="PressReleaseText"/>
      </w:pPr>
      <w:r>
        <w:t>Il design ottimizzato delle ruote dentate e il perfetto ingaggio tra i denti costituiscono dei benefici aggiuntivi.</w:t>
      </w:r>
    </w:p>
    <w:p w:rsidR="00B749E1" w:rsidRPr="006A1B55" w:rsidRDefault="00B749E1">
      <w:pPr>
        <w:pStyle w:val="PressReleaseText"/>
      </w:pPr>
    </w:p>
    <w:p w:rsidR="00B749E1" w:rsidRDefault="00CD135B">
      <w:pPr>
        <w:pStyle w:val="PressReleaseText"/>
      </w:pPr>
      <w:r>
        <w:t xml:space="preserve">I nastri modulari in plastica sono diventati componenti indispensabili in molte aree del settore alimentare. </w:t>
      </w:r>
      <w:proofErr w:type="spellStart"/>
      <w:r>
        <w:t>Forbo</w:t>
      </w:r>
      <w:proofErr w:type="spellEnd"/>
      <w:r>
        <w:t xml:space="preserve"> Siegling conta più di 60 versioni dei moduli della serie </w:t>
      </w:r>
      <w:proofErr w:type="spellStart"/>
      <w:r>
        <w:t>Prolink</w:t>
      </w:r>
      <w:proofErr w:type="spellEnd"/>
      <w:r>
        <w:t xml:space="preserve">, in grado di gestire qualsiasi </w:t>
      </w:r>
      <w:r w:rsidR="00276A55">
        <w:t>attività</w:t>
      </w:r>
      <w:r>
        <w:t xml:space="preserve"> di movimentazione e lavorazione. </w:t>
      </w:r>
    </w:p>
    <w:p w:rsidR="00B749E1" w:rsidRPr="006A1B55" w:rsidRDefault="00B749E1">
      <w:pPr>
        <w:pStyle w:val="PressReleaseText"/>
      </w:pPr>
    </w:p>
    <w:p w:rsidR="00B749E1" w:rsidRPr="006A1B55" w:rsidRDefault="00B749E1">
      <w:pPr>
        <w:pStyle w:val="PressReleaseText"/>
      </w:pPr>
    </w:p>
    <w:p w:rsidR="00B749E1" w:rsidRPr="006A1B55" w:rsidRDefault="00B749E1">
      <w:pPr>
        <w:pStyle w:val="PressReleaseText"/>
      </w:pPr>
    </w:p>
    <w:p w:rsidR="00B749E1" w:rsidRPr="006A1B55" w:rsidRDefault="00B749E1">
      <w:pPr>
        <w:pStyle w:val="Adressline"/>
      </w:pPr>
    </w:p>
    <w:p w:rsidR="00B749E1" w:rsidRDefault="00CD135B">
      <w:pPr>
        <w:pStyle w:val="Address"/>
      </w:pPr>
      <w:r>
        <w:t>Per maggiori informazioni:</w:t>
      </w:r>
    </w:p>
    <w:p w:rsidR="00B749E1" w:rsidRDefault="00CD135B">
      <w:pPr>
        <w:pStyle w:val="Address"/>
      </w:pPr>
      <w:r>
        <w:t>Matthias Eilert</w:t>
      </w:r>
    </w:p>
    <w:p w:rsidR="00B749E1" w:rsidRDefault="00CD135B">
      <w:pPr>
        <w:pStyle w:val="Address"/>
      </w:pPr>
      <w:r>
        <w:t>Marketing Communications</w:t>
      </w:r>
    </w:p>
    <w:p w:rsidR="00B749E1" w:rsidRDefault="00CD135B">
      <w:pPr>
        <w:pStyle w:val="Address"/>
      </w:pPr>
      <w:r>
        <w:t>Tel. +49 511 67 04 232, Fax +49 511 67 04 233</w:t>
      </w:r>
    </w:p>
    <w:p w:rsidR="00B749E1" w:rsidRDefault="00CD135B">
      <w:pPr>
        <w:pStyle w:val="Address"/>
      </w:pPr>
      <w:r>
        <w:t>siegling@forbo.com</w:t>
      </w:r>
    </w:p>
    <w:p w:rsidR="00B749E1" w:rsidRDefault="00B749E1">
      <w:pPr>
        <w:rPr>
          <w:lang w:val="en-US"/>
        </w:rPr>
      </w:pPr>
    </w:p>
    <w:sectPr w:rsidR="00B749E1">
      <w:headerReference w:type="default" r:id="rId8"/>
      <w:headerReference w:type="first" r:id="rId9"/>
      <w:type w:val="continuous"/>
      <w:pgSz w:w="11907" w:h="16840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D1" w:rsidRDefault="008C27D1">
      <w:pPr>
        <w:spacing w:after="0" w:line="240" w:lineRule="auto"/>
      </w:pPr>
      <w:r>
        <w:separator/>
      </w:r>
    </w:p>
  </w:endnote>
  <w:endnote w:type="continuationSeparator" w:id="0">
    <w:p w:rsidR="008C27D1" w:rsidRDefault="008C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D1" w:rsidRDefault="008C27D1">
      <w:pPr>
        <w:spacing w:after="0" w:line="240" w:lineRule="auto"/>
      </w:pPr>
      <w:r>
        <w:separator/>
      </w:r>
    </w:p>
  </w:footnote>
  <w:footnote w:type="continuationSeparator" w:id="0">
    <w:p w:rsidR="008C27D1" w:rsidRDefault="008C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14"/>
      <w:gridCol w:w="675"/>
    </w:tblGrid>
    <w:tr w:rsidR="00B749E1">
      <w:trPr>
        <w:gridAfter w:val="1"/>
        <w:wAfter w:w="675" w:type="dxa"/>
        <w:trHeight w:hRule="exact" w:val="2098"/>
      </w:trPr>
      <w:tc>
        <w:tcPr>
          <w:tcW w:w="6214" w:type="dxa"/>
        </w:tcPr>
        <w:p w:rsidR="00B749E1" w:rsidRDefault="00B749E1">
          <w:pPr>
            <w:pStyle w:val="Intestazione"/>
          </w:pPr>
        </w:p>
        <w:p w:rsidR="00B749E1" w:rsidRDefault="00CD135B">
          <w:pPr>
            <w:pStyle w:val="LogoBlack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749E1" w:rsidRDefault="00CD135B">
          <w:pPr>
            <w:pStyle w:val="LogoColor"/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749E1" w:rsidRDefault="00B749E1">
          <w:pPr>
            <w:pStyle w:val="Intestazione"/>
          </w:pPr>
        </w:p>
      </w:tc>
    </w:tr>
    <w:tr w:rsidR="00B749E1">
      <w:trPr>
        <w:trHeight w:hRule="exact" w:val="1247"/>
      </w:trPr>
      <w:tc>
        <w:tcPr>
          <w:tcW w:w="6889" w:type="dxa"/>
          <w:gridSpan w:val="2"/>
        </w:tcPr>
        <w:p w:rsidR="00B749E1" w:rsidRDefault="00CD135B">
          <w:pPr>
            <w:pStyle w:val="Titolo"/>
          </w:pPr>
          <w:fldSimple w:instr=" STYLEREF TitLEREF \* MERGEFORMAT ">
            <w:r w:rsidR="006A1B55">
              <w:rPr>
                <w:noProof/>
              </w:rPr>
              <w:t>Comunicato stampa</w:t>
            </w:r>
          </w:fldSimple>
        </w:p>
      </w:tc>
    </w:tr>
    <w:tr w:rsidR="00B749E1">
      <w:tblPrEx>
        <w:tblBorders>
          <w:insideH w:val="single" w:sz="2" w:space="0" w:color="auto"/>
        </w:tblBorders>
      </w:tblPrEx>
      <w:trPr>
        <w:trHeight w:val="227"/>
      </w:trPr>
      <w:tc>
        <w:tcPr>
          <w:tcW w:w="6889" w:type="dxa"/>
          <w:gridSpan w:val="2"/>
          <w:tcBorders>
            <w:top w:val="nil"/>
            <w:bottom w:val="single" w:sz="2" w:space="0" w:color="auto"/>
          </w:tcBorders>
        </w:tcPr>
        <w:p w:rsidR="00B749E1" w:rsidRDefault="00CD135B">
          <w:pPr>
            <w:pStyle w:val="Page"/>
          </w:pPr>
          <w: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76A55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fldSimple w:instr=" NUMPAGES  \* MERGEFORMAT ">
            <w:r w:rsidR="00276A55">
              <w:rPr>
                <w:noProof/>
              </w:rPr>
              <w:t>2</w:t>
            </w:r>
          </w:fldSimple>
        </w:p>
      </w:tc>
    </w:tr>
    <w:tr w:rsidR="00B749E1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6889" w:type="dxa"/>
          <w:gridSpan w:val="2"/>
          <w:tcBorders>
            <w:top w:val="single" w:sz="2" w:space="0" w:color="auto"/>
            <w:bottom w:val="nil"/>
          </w:tcBorders>
        </w:tcPr>
        <w:p w:rsidR="00B749E1" w:rsidRDefault="00B749E1"/>
      </w:tc>
    </w:tr>
  </w:tbl>
  <w:p w:rsidR="00B749E1" w:rsidRDefault="00B749E1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E1" w:rsidRDefault="00B749E1">
    <w:pPr>
      <w:pStyle w:val="Intestazione"/>
    </w:pPr>
  </w:p>
  <w:p w:rsidR="00B749E1" w:rsidRDefault="00CD135B">
    <w:pPr>
      <w:pStyle w:val="LogoBlack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49E1" w:rsidRDefault="00CD135B">
    <w:pPr>
      <w:pStyle w:val="LogoColo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49E1" w:rsidRDefault="00B749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Puntoelenco"/>
      <w:lvlText w:val="–"/>
      <w:lvlJc w:val="left"/>
      <w:pPr>
        <w:tabs>
          <w:tab w:val="left" w:pos="360"/>
        </w:tabs>
        <w:ind w:left="312" w:hanging="312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leurAfdwingen" w:val="Y"/>
    <w:docVar w:name="ShowPageNumbers" w:val="-1"/>
  </w:docVars>
  <w:rsids>
    <w:rsidRoot w:val="006318CB"/>
    <w:rsid w:val="00017AAB"/>
    <w:rsid w:val="00074EEB"/>
    <w:rsid w:val="00122E96"/>
    <w:rsid w:val="0012506A"/>
    <w:rsid w:val="001A4DFC"/>
    <w:rsid w:val="001E4A32"/>
    <w:rsid w:val="00216BFF"/>
    <w:rsid w:val="00251EC0"/>
    <w:rsid w:val="00264EEF"/>
    <w:rsid w:val="00276A55"/>
    <w:rsid w:val="002836C9"/>
    <w:rsid w:val="00293033"/>
    <w:rsid w:val="002D5F1A"/>
    <w:rsid w:val="00303033"/>
    <w:rsid w:val="00307C12"/>
    <w:rsid w:val="00317597"/>
    <w:rsid w:val="0034135D"/>
    <w:rsid w:val="003840A6"/>
    <w:rsid w:val="004030C9"/>
    <w:rsid w:val="0040359D"/>
    <w:rsid w:val="00465ACC"/>
    <w:rsid w:val="004660DF"/>
    <w:rsid w:val="004B3015"/>
    <w:rsid w:val="004C1460"/>
    <w:rsid w:val="005172F5"/>
    <w:rsid w:val="00522A52"/>
    <w:rsid w:val="005427D3"/>
    <w:rsid w:val="005463C1"/>
    <w:rsid w:val="005862ED"/>
    <w:rsid w:val="0058797F"/>
    <w:rsid w:val="005D48DD"/>
    <w:rsid w:val="005E47AD"/>
    <w:rsid w:val="006318CB"/>
    <w:rsid w:val="0065254F"/>
    <w:rsid w:val="00655B04"/>
    <w:rsid w:val="006A1B55"/>
    <w:rsid w:val="006C31C6"/>
    <w:rsid w:val="006D4476"/>
    <w:rsid w:val="00767EA2"/>
    <w:rsid w:val="007D2409"/>
    <w:rsid w:val="00817743"/>
    <w:rsid w:val="00820724"/>
    <w:rsid w:val="00830000"/>
    <w:rsid w:val="0084024A"/>
    <w:rsid w:val="008C27D1"/>
    <w:rsid w:val="008D5D2D"/>
    <w:rsid w:val="009401D1"/>
    <w:rsid w:val="00957DB4"/>
    <w:rsid w:val="00972887"/>
    <w:rsid w:val="00A30527"/>
    <w:rsid w:val="00AD685B"/>
    <w:rsid w:val="00AE3E07"/>
    <w:rsid w:val="00AF13D8"/>
    <w:rsid w:val="00B30E02"/>
    <w:rsid w:val="00B31C97"/>
    <w:rsid w:val="00B749E1"/>
    <w:rsid w:val="00C34872"/>
    <w:rsid w:val="00C96ED9"/>
    <w:rsid w:val="00CA3224"/>
    <w:rsid w:val="00CA3540"/>
    <w:rsid w:val="00CB5C37"/>
    <w:rsid w:val="00CD135B"/>
    <w:rsid w:val="00D11EBD"/>
    <w:rsid w:val="00D25B33"/>
    <w:rsid w:val="00D51D64"/>
    <w:rsid w:val="00D5257C"/>
    <w:rsid w:val="00DA4D8A"/>
    <w:rsid w:val="00DF1A36"/>
    <w:rsid w:val="00E96E13"/>
    <w:rsid w:val="00EC0B5F"/>
    <w:rsid w:val="00F06A2C"/>
    <w:rsid w:val="00F74F75"/>
    <w:rsid w:val="00F93648"/>
    <w:rsid w:val="00FC0CCF"/>
    <w:rsid w:val="1A142ABC"/>
    <w:rsid w:val="1BFD0760"/>
    <w:rsid w:val="1EE70D95"/>
    <w:rsid w:val="2DBD62CA"/>
    <w:rsid w:val="32E87975"/>
    <w:rsid w:val="3D73086B"/>
    <w:rsid w:val="3F6774F4"/>
    <w:rsid w:val="41E82368"/>
    <w:rsid w:val="46B503C6"/>
    <w:rsid w:val="59BF1007"/>
    <w:rsid w:val="63FD6534"/>
    <w:rsid w:val="69A83ED4"/>
    <w:rsid w:val="71CF6B44"/>
    <w:rsid w:val="7E601F54"/>
    <w:rsid w:val="7F3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380B2"/>
  <w15:docId w15:val="{1B5B65D1-78FE-4CC0-B2CC-6CBCD2E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semiHidden/>
    <w:unhideWhenUsed/>
    <w:qFormat/>
  </w:style>
  <w:style w:type="paragraph" w:styleId="Pidipagina">
    <w:name w:val="footer"/>
    <w:basedOn w:val="Address"/>
  </w:style>
  <w:style w:type="paragraph" w:customStyle="1" w:styleId="Address">
    <w:name w:val="Address"/>
    <w:basedOn w:val="Normale"/>
    <w:qFormat/>
    <w:pPr>
      <w:spacing w:line="199" w:lineRule="atLeast"/>
    </w:pPr>
    <w:rPr>
      <w:rFonts w:ascii="Arial" w:hAnsi="Arial" w:cs="Arial"/>
      <w:sz w:val="15"/>
      <w:szCs w:val="15"/>
    </w:rPr>
  </w:style>
  <w:style w:type="paragraph" w:styleId="Intestazione">
    <w:name w:val="header"/>
    <w:basedOn w:val="Normale"/>
    <w:qFormat/>
  </w:style>
  <w:style w:type="paragraph" w:styleId="Puntoelenco">
    <w:name w:val="List Bullet"/>
    <w:basedOn w:val="Normale"/>
    <w:pPr>
      <w:numPr>
        <w:numId w:val="1"/>
      </w:numPr>
      <w:tabs>
        <w:tab w:val="clear" w:pos="360"/>
      </w:tabs>
    </w:pPr>
  </w:style>
  <w:style w:type="paragraph" w:styleId="Numeroelenco">
    <w:name w:val="List Number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character" w:styleId="Collegamentoipertestuale">
    <w:name w:val="Hyperlink"/>
    <w:basedOn w:val="Carpredefinitoparagrafo"/>
    <w:semiHidden/>
    <w:unhideWhenUsed/>
    <w:rPr>
      <w:color w:val="0000FF"/>
      <w:u w:val="single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  <w:qFormat/>
  </w:style>
  <w:style w:type="paragraph" w:customStyle="1" w:styleId="Gruformel1">
    <w:name w:val="Grußformel1"/>
    <w:basedOn w:val="Normale"/>
    <w:pPr>
      <w:keepNext/>
      <w:keepLines/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qFormat/>
    <w:pPr>
      <w:spacing w:line="383" w:lineRule="atLeast"/>
      <w:jc w:val="both"/>
    </w:pPr>
    <w:rPr>
      <w:sz w:val="20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>www.omniatraduzioni.com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Omnia Language Solutions S.r.l.</dc:creator>
  <cp:lastModifiedBy>Favretto, Alan</cp:lastModifiedBy>
  <cp:revision>2</cp:revision>
  <cp:lastPrinted>2019-02-04T07:28:00Z</cp:lastPrinted>
  <dcterms:created xsi:type="dcterms:W3CDTF">2019-04-12T10:41:00Z</dcterms:created>
  <dcterms:modified xsi:type="dcterms:W3CDTF">2019-04-12T10:41:00Z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