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889" w:type="dxa"/>
        <w:tblLayout w:type="fixed"/>
        <w:tblCellMar>
          <w:left w:w="0" w:type="dxa"/>
          <w:right w:w="0" w:type="dxa"/>
        </w:tblCellMar>
        <w:tblLook w:val="04A0" w:firstRow="1" w:lastRow="0" w:firstColumn="1" w:lastColumn="0" w:noHBand="0" w:noVBand="1"/>
      </w:tblPr>
      <w:tblGrid>
        <w:gridCol w:w="6889"/>
      </w:tblGrid>
      <w:tr w:rsidR="000550F3">
        <w:trPr>
          <w:cantSplit/>
          <w:trHeight w:hRule="exact" w:val="2750"/>
        </w:trPr>
        <w:tc>
          <w:tcPr>
            <w:tcW w:w="6889" w:type="dxa"/>
          </w:tcPr>
          <w:tbl>
            <w:tblPr>
              <w:tblW w:w="6889" w:type="dxa"/>
              <w:tblLayout w:type="fixed"/>
              <w:tblCellMar>
                <w:left w:w="0" w:type="dxa"/>
                <w:right w:w="0" w:type="dxa"/>
              </w:tblCellMar>
              <w:tblLook w:val="04A0" w:firstRow="1" w:lastRow="0" w:firstColumn="1" w:lastColumn="0" w:noHBand="0" w:noVBand="1"/>
            </w:tblPr>
            <w:tblGrid>
              <w:gridCol w:w="6889"/>
            </w:tblGrid>
            <w:tr w:rsidR="000550F3">
              <w:trPr>
                <w:trHeight w:hRule="exact" w:val="1247"/>
              </w:trPr>
              <w:tc>
                <w:tcPr>
                  <w:tcW w:w="6889" w:type="dxa"/>
                </w:tcPr>
                <w:p w:rsidR="000550F3" w:rsidRDefault="00791349">
                  <w:pPr>
                    <w:pStyle w:val="TitleRef"/>
                  </w:pPr>
                  <w:r>
                    <w:t>Comunicato stampa</w:t>
                  </w:r>
                </w:p>
              </w:tc>
            </w:tr>
            <w:tr w:rsidR="000550F3">
              <w:tblPrEx>
                <w:tblBorders>
                  <w:insideH w:val="single" w:sz="2" w:space="0" w:color="auto"/>
                </w:tblBorders>
              </w:tblPrEx>
              <w:trPr>
                <w:trHeight w:val="227"/>
              </w:trPr>
              <w:tc>
                <w:tcPr>
                  <w:tcW w:w="6889" w:type="dxa"/>
                  <w:tcBorders>
                    <w:top w:val="nil"/>
                    <w:bottom w:val="single" w:sz="2" w:space="0" w:color="auto"/>
                  </w:tcBorders>
                </w:tcPr>
                <w:p w:rsidR="000550F3" w:rsidRDefault="00791349">
                  <w:pPr>
                    <w:pStyle w:val="Page"/>
                  </w:pPr>
                  <w:r>
                    <w:t xml:space="preserve">Pagina </w:t>
                  </w:r>
                  <w:r>
                    <w:fldChar w:fldCharType="begin"/>
                  </w:r>
                  <w:r>
                    <w:instrText xml:space="preserve"> PAGE  \* MERGEFORMAT </w:instrText>
                  </w:r>
                  <w:r>
                    <w:fldChar w:fldCharType="separate"/>
                  </w:r>
                  <w:r>
                    <w:t>1</w:t>
                  </w:r>
                  <w:r>
                    <w:fldChar w:fldCharType="end"/>
                  </w:r>
                  <w:r>
                    <w:t xml:space="preserve"> di </w:t>
                  </w:r>
                  <w:r w:rsidR="00926856">
                    <w:fldChar w:fldCharType="begin"/>
                  </w:r>
                  <w:r w:rsidR="00926856">
                    <w:instrText xml:space="preserve"> NUMPAGES  \* MERGEFORMAT </w:instrText>
                  </w:r>
                  <w:r w:rsidR="00926856">
                    <w:fldChar w:fldCharType="separate"/>
                  </w:r>
                  <w:r>
                    <w:t>1</w:t>
                  </w:r>
                  <w:r w:rsidR="00926856">
                    <w:fldChar w:fldCharType="end"/>
                  </w:r>
                </w:p>
              </w:tc>
            </w:tr>
            <w:tr w:rsidR="000550F3">
              <w:tblPrEx>
                <w:tblBorders>
                  <w:insideH w:val="single" w:sz="2" w:space="0" w:color="auto"/>
                </w:tblBorders>
              </w:tblPrEx>
              <w:trPr>
                <w:trHeight w:hRule="exact" w:val="284"/>
              </w:trPr>
              <w:tc>
                <w:tcPr>
                  <w:tcW w:w="6889" w:type="dxa"/>
                  <w:tcBorders>
                    <w:top w:val="single" w:sz="2" w:space="0" w:color="auto"/>
                    <w:bottom w:val="nil"/>
                  </w:tcBorders>
                </w:tcPr>
                <w:p w:rsidR="000550F3" w:rsidRDefault="000550F3">
                  <w:pPr>
                    <w:rPr>
                      <w:lang w:val="en-US"/>
                    </w:rPr>
                  </w:pPr>
                </w:p>
              </w:tc>
            </w:tr>
            <w:tr w:rsidR="000550F3">
              <w:tblPrEx>
                <w:tblBorders>
                  <w:insideH w:val="single" w:sz="2" w:space="0" w:color="auto"/>
                </w:tblBorders>
              </w:tblPrEx>
              <w:trPr>
                <w:trHeight w:hRule="exact" w:val="284"/>
              </w:trPr>
              <w:tc>
                <w:tcPr>
                  <w:tcW w:w="6889" w:type="dxa"/>
                  <w:tcBorders>
                    <w:top w:val="single" w:sz="2" w:space="0" w:color="auto"/>
                    <w:bottom w:val="nil"/>
                  </w:tcBorders>
                </w:tcPr>
                <w:p w:rsidR="000550F3" w:rsidRDefault="000550F3">
                  <w:pPr>
                    <w:rPr>
                      <w:lang w:val="en-US"/>
                    </w:rPr>
                  </w:pPr>
                </w:p>
              </w:tc>
            </w:tr>
            <w:tr w:rsidR="000550F3">
              <w:tblPrEx>
                <w:tblBorders>
                  <w:insideH w:val="single" w:sz="2" w:space="0" w:color="auto"/>
                </w:tblBorders>
              </w:tblPrEx>
              <w:tc>
                <w:tcPr>
                  <w:tcW w:w="6889" w:type="dxa"/>
                  <w:tcBorders>
                    <w:top w:val="nil"/>
                    <w:bottom w:val="nil"/>
                  </w:tcBorders>
                </w:tcPr>
                <w:p w:rsidR="000550F3" w:rsidRDefault="00791349" w:rsidP="006D6659">
                  <w:pPr>
                    <w:pStyle w:val="Subject"/>
                  </w:pPr>
                  <w:r>
                    <w:t xml:space="preserve">I prodotti </w:t>
                  </w:r>
                  <w:r w:rsidR="00974024">
                    <w:t xml:space="preserve">in </w:t>
                  </w:r>
                  <w:r w:rsidR="006D6659">
                    <w:t>contenitore</w:t>
                  </w:r>
                  <w:r>
                    <w:t xml:space="preserve"> aumentano la produttività e le proprietà igieniche</w:t>
                  </w:r>
                </w:p>
              </w:tc>
            </w:tr>
          </w:tbl>
          <w:p w:rsidR="000550F3" w:rsidRPr="00974024" w:rsidRDefault="000550F3"/>
        </w:tc>
      </w:tr>
    </w:tbl>
    <w:p w:rsidR="000550F3" w:rsidRDefault="00791349">
      <w:pPr>
        <w:pStyle w:val="Page"/>
      </w:pPr>
      <w:r>
        <w:t>[lead]</w:t>
      </w:r>
    </w:p>
    <w:p w:rsidR="000550F3" w:rsidRDefault="00791349">
      <w:pPr>
        <w:pStyle w:val="PressReleaseText"/>
      </w:pPr>
      <w:r>
        <w:t xml:space="preserve">La nuova serie di tazze per i nastri modulari </w:t>
      </w:r>
      <w:proofErr w:type="spellStart"/>
      <w:r>
        <w:t>Prolink</w:t>
      </w:r>
      <w:proofErr w:type="spellEnd"/>
      <w:r>
        <w:t xml:space="preserve"> 6.1 è diventata la scelta numero uno per </w:t>
      </w:r>
      <w:r w:rsidR="006217B3">
        <w:t>il trasporto su piani</w:t>
      </w:r>
      <w:r>
        <w:t xml:space="preserve"> inclinati. </w:t>
      </w:r>
    </w:p>
    <w:p w:rsidR="000550F3" w:rsidRDefault="00791349">
      <w:pPr>
        <w:pStyle w:val="Page"/>
      </w:pPr>
      <w:r>
        <w:t>[Corpo]</w:t>
      </w:r>
    </w:p>
    <w:p w:rsidR="000550F3" w:rsidRDefault="00791349">
      <w:pPr>
        <w:pStyle w:val="PressReleaseText"/>
      </w:pPr>
      <w:r>
        <w:t>I nastri modulari in plastica della serie 6.1 vengono impiegati da anni con successo in settori con stringenti requisiti igienici. La disponibilità di un’ampia gamma di versioni, tra cui nastri lisci, con superficie aperta e strutturati (per es. con superfici a punte o a coni, aperti o chiusi) rende questa serie una soluzione versatile, specialmente per il settore alimentare.</w:t>
      </w:r>
    </w:p>
    <w:p w:rsidR="000550F3" w:rsidRPr="00974024" w:rsidRDefault="000550F3">
      <w:pPr>
        <w:pStyle w:val="PressReleaseText"/>
      </w:pPr>
    </w:p>
    <w:p w:rsidR="000550F3" w:rsidRDefault="00791349">
      <w:pPr>
        <w:pStyle w:val="PressReleaseText"/>
      </w:pPr>
      <w:r>
        <w:t xml:space="preserve">A completamento di questa linea di prodotto, </w:t>
      </w:r>
      <w:proofErr w:type="spellStart"/>
      <w:r>
        <w:t>Forbo</w:t>
      </w:r>
      <w:proofErr w:type="spellEnd"/>
      <w:r>
        <w:t xml:space="preserve"> </w:t>
      </w:r>
      <w:proofErr w:type="spellStart"/>
      <w:r>
        <w:t>Movement</w:t>
      </w:r>
      <w:proofErr w:type="spellEnd"/>
      <w:r>
        <w:t xml:space="preserve"> Systems ha aggiunto alla propria offerta una serie di tazze </w:t>
      </w:r>
      <w:r w:rsidR="007E01F3">
        <w:t>dedicate al trasporto su piani</w:t>
      </w:r>
      <w:r>
        <w:t xml:space="preserve"> inclinati</w:t>
      </w:r>
      <w:r w:rsidR="007E01F3">
        <w:t xml:space="preserve"> e ideali</w:t>
      </w:r>
      <w:r w:rsidR="00725B64">
        <w:t xml:space="preserve"> per movimentare prodotti sfusi</w:t>
      </w:r>
      <w:r w:rsidR="00B77C70">
        <w:t xml:space="preserve">, </w:t>
      </w:r>
      <w:r w:rsidR="00725B64">
        <w:t>per prodotti confezionati</w:t>
      </w:r>
      <w:r w:rsidR="00B77C70">
        <w:t xml:space="preserve"> e per nastri inclinati in genere</w:t>
      </w:r>
      <w:bookmarkStart w:id="0" w:name="_GoBack"/>
      <w:bookmarkEnd w:id="0"/>
      <w:r>
        <w:t>. Questi profili trovano impiego in una serie di aree del settore alimentare, tra cui snack, carne e pollame, frutta, verdura, lavorazione di impasti o d</w:t>
      </w:r>
      <w:r w:rsidR="007E01F3">
        <w:t>olci</w:t>
      </w:r>
      <w:r>
        <w:t>.</w:t>
      </w:r>
    </w:p>
    <w:p w:rsidR="000550F3" w:rsidRPr="00974024" w:rsidRDefault="000550F3">
      <w:pPr>
        <w:pStyle w:val="PressReleaseText"/>
      </w:pPr>
    </w:p>
    <w:p w:rsidR="000550F3" w:rsidRDefault="00791349">
      <w:pPr>
        <w:pStyle w:val="PressReleaseText"/>
      </w:pPr>
      <w:r>
        <w:t>A differenza dei profili ricurvi, le robuste tazze avvolgono saldamente il prodotto e, data l'assenza di giunti, prevengono eventuali dispersioni e perdite indesiderate</w:t>
      </w:r>
      <w:r w:rsidR="007E01F3">
        <w:t xml:space="preserve"> facilitando inoltre</w:t>
      </w:r>
      <w:r>
        <w:t xml:space="preserve"> le operazioni di pulizia. Le tazze S6.1-0 FLT sono disponibili con una larghezza di 200 mm e due differenti altezze, </w:t>
      </w:r>
      <w:r>
        <w:lastRenderedPageBreak/>
        <w:t>102 mm e 152 mm, e sono realizzate in polietilene (PE), polipropilene (PP) e poliossimetilene (POM) nei colori blu e bianco. È possibile fornire tazze più larghe (&gt; 200 mm) combinandole con i profili standard a vaschetta: quest</w:t>
      </w:r>
      <w:r w:rsidR="005E4199">
        <w:t>o</w:t>
      </w:r>
      <w:r>
        <w:t xml:space="preserve"> viene posizionata al centro e le due metà della tazza vengono installate sui lati, per rispondere all’esigenza di </w:t>
      </w:r>
      <w:r w:rsidR="006D6659">
        <w:t>maggiore capienza</w:t>
      </w:r>
      <w:r>
        <w:t>. Le tazze possono anche essere installate fianco a fianco per garantire un’ottima distribuzione sull’intera larghezza del nastro.</w:t>
      </w:r>
    </w:p>
    <w:p w:rsidR="000550F3" w:rsidRPr="00974024" w:rsidRDefault="000550F3">
      <w:pPr>
        <w:pStyle w:val="PressReleaseText"/>
      </w:pPr>
    </w:p>
    <w:p w:rsidR="000550F3" w:rsidRPr="00974024" w:rsidRDefault="000550F3">
      <w:pPr>
        <w:pStyle w:val="PressReleaseText"/>
      </w:pPr>
    </w:p>
    <w:p w:rsidR="000550F3" w:rsidRPr="00974024" w:rsidRDefault="000550F3">
      <w:pPr>
        <w:pStyle w:val="PressReleaseText"/>
      </w:pPr>
    </w:p>
    <w:p w:rsidR="000550F3" w:rsidRPr="00974024" w:rsidRDefault="000550F3">
      <w:pPr>
        <w:pStyle w:val="PressReleaseText"/>
      </w:pPr>
    </w:p>
    <w:p w:rsidR="000550F3" w:rsidRPr="00974024" w:rsidRDefault="000550F3">
      <w:pPr>
        <w:pStyle w:val="Adressline"/>
      </w:pPr>
    </w:p>
    <w:p w:rsidR="000550F3" w:rsidRDefault="00791349">
      <w:pPr>
        <w:pStyle w:val="Address"/>
      </w:pPr>
      <w:r>
        <w:t>Per maggiori informazioni:</w:t>
      </w:r>
    </w:p>
    <w:p w:rsidR="000550F3" w:rsidRDefault="00791349">
      <w:pPr>
        <w:pStyle w:val="Address"/>
      </w:pPr>
      <w:r>
        <w:t>Matthias Eilert</w:t>
      </w:r>
    </w:p>
    <w:p w:rsidR="000550F3" w:rsidRDefault="00791349">
      <w:pPr>
        <w:pStyle w:val="Address"/>
      </w:pPr>
      <w:r>
        <w:t>Marketing Communications</w:t>
      </w:r>
    </w:p>
    <w:p w:rsidR="000550F3" w:rsidRDefault="00791349">
      <w:pPr>
        <w:pStyle w:val="Address"/>
      </w:pPr>
      <w:r>
        <w:t>Tel. +49 511 67 04 232, Fax +49 511 67 04 233</w:t>
      </w:r>
    </w:p>
    <w:p w:rsidR="000550F3" w:rsidRDefault="00791349">
      <w:pPr>
        <w:pStyle w:val="Address"/>
      </w:pPr>
      <w:r>
        <w:t>siegling@forbo.com</w:t>
      </w:r>
    </w:p>
    <w:p w:rsidR="000550F3" w:rsidRDefault="000550F3">
      <w:pPr>
        <w:rPr>
          <w:lang w:val="en-US"/>
        </w:rPr>
      </w:pPr>
    </w:p>
    <w:sectPr w:rsidR="000550F3">
      <w:headerReference w:type="default" r:id="rId8"/>
      <w:headerReference w:type="first" r:id="rId9"/>
      <w:type w:val="continuous"/>
      <w:pgSz w:w="11907" w:h="16840"/>
      <w:pgMar w:top="2665" w:right="3317" w:bottom="2098" w:left="1701" w:header="567" w:footer="397" w:gutter="0"/>
      <w:cols w:space="19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856" w:rsidRDefault="00926856">
      <w:pPr>
        <w:spacing w:after="0" w:line="240" w:lineRule="auto"/>
      </w:pPr>
      <w:r>
        <w:separator/>
      </w:r>
    </w:p>
  </w:endnote>
  <w:endnote w:type="continuationSeparator" w:id="0">
    <w:p w:rsidR="00926856" w:rsidRDefault="00926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856" w:rsidRDefault="00926856">
      <w:pPr>
        <w:spacing w:after="0" w:line="240" w:lineRule="auto"/>
      </w:pPr>
      <w:r>
        <w:separator/>
      </w:r>
    </w:p>
  </w:footnote>
  <w:footnote w:type="continuationSeparator" w:id="0">
    <w:p w:rsidR="00926856" w:rsidRDefault="00926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889" w:type="dxa"/>
      <w:tblLayout w:type="fixed"/>
      <w:tblCellMar>
        <w:left w:w="0" w:type="dxa"/>
        <w:right w:w="0" w:type="dxa"/>
      </w:tblCellMar>
      <w:tblLook w:val="04A0" w:firstRow="1" w:lastRow="0" w:firstColumn="1" w:lastColumn="0" w:noHBand="0" w:noVBand="1"/>
    </w:tblPr>
    <w:tblGrid>
      <w:gridCol w:w="6214"/>
      <w:gridCol w:w="675"/>
    </w:tblGrid>
    <w:tr w:rsidR="000550F3">
      <w:trPr>
        <w:gridAfter w:val="1"/>
        <w:wAfter w:w="675" w:type="dxa"/>
        <w:trHeight w:hRule="exact" w:val="2098"/>
      </w:trPr>
      <w:tc>
        <w:tcPr>
          <w:tcW w:w="6214" w:type="dxa"/>
        </w:tcPr>
        <w:p w:rsidR="000550F3" w:rsidRDefault="000550F3">
          <w:pPr>
            <w:pStyle w:val="Intestazione"/>
          </w:pPr>
        </w:p>
        <w:p w:rsidR="000550F3" w:rsidRDefault="00791349">
          <w:pPr>
            <w:pStyle w:val="LogoBlack"/>
          </w:pPr>
          <w:r>
            <w:rPr>
              <w:noProof/>
              <w:lang w:eastAsia="it-IT"/>
            </w:rPr>
            <w:drawing>
              <wp:anchor distT="0" distB="0" distL="114300" distR="114300" simplePos="0" relativeHeight="251658240" behindDoc="0" locked="0" layoutInCell="1" allowOverlap="1">
                <wp:simplePos x="0" y="0"/>
                <wp:positionH relativeFrom="page">
                  <wp:posOffset>-1080135</wp:posOffset>
                </wp:positionH>
                <wp:positionV relativeFrom="page">
                  <wp:posOffset>-360045</wp:posOffset>
                </wp:positionV>
                <wp:extent cx="7568565" cy="1256030"/>
                <wp:effectExtent l="0" t="0" r="0" b="1270"/>
                <wp:wrapNone/>
                <wp:docPr id="10" name="Bild 10"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 10"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568565" cy="1256030"/>
                        </a:xfrm>
                        <a:prstGeom prst="rect">
                          <a:avLst/>
                        </a:prstGeom>
                        <a:noFill/>
                        <a:ln>
                          <a:noFill/>
                        </a:ln>
                      </pic:spPr>
                    </pic:pic>
                  </a:graphicData>
                </a:graphic>
              </wp:anchor>
            </w:drawing>
          </w:r>
        </w:p>
        <w:p w:rsidR="000550F3" w:rsidRDefault="00791349">
          <w:pPr>
            <w:pStyle w:val="LogoColor"/>
          </w:pPr>
          <w:r>
            <w:rPr>
              <w:noProof/>
              <w:sz w:val="20"/>
              <w:lang w:eastAsia="it-IT"/>
            </w:rPr>
            <w:drawing>
              <wp:anchor distT="0" distB="0" distL="114300" distR="114300" simplePos="0" relativeHeight="251659264" behindDoc="0" locked="0" layoutInCell="1" allowOverlap="1">
                <wp:simplePos x="0" y="0"/>
                <wp:positionH relativeFrom="page">
                  <wp:posOffset>-1080135</wp:posOffset>
                </wp:positionH>
                <wp:positionV relativeFrom="page">
                  <wp:posOffset>-360045</wp:posOffset>
                </wp:positionV>
                <wp:extent cx="7568565" cy="1256030"/>
                <wp:effectExtent l="0" t="0" r="0" b="1270"/>
                <wp:wrapNone/>
                <wp:docPr id="12" name="Bild 12"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 12"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7568565" cy="1256030"/>
                        </a:xfrm>
                        <a:prstGeom prst="rect">
                          <a:avLst/>
                        </a:prstGeom>
                        <a:noFill/>
                        <a:ln>
                          <a:noFill/>
                        </a:ln>
                      </pic:spPr>
                    </pic:pic>
                  </a:graphicData>
                </a:graphic>
              </wp:anchor>
            </w:drawing>
          </w:r>
        </w:p>
        <w:p w:rsidR="000550F3" w:rsidRDefault="000550F3">
          <w:pPr>
            <w:pStyle w:val="Intestazione"/>
          </w:pPr>
        </w:p>
      </w:tc>
    </w:tr>
    <w:tr w:rsidR="000550F3">
      <w:trPr>
        <w:trHeight w:hRule="exact" w:val="1247"/>
      </w:trPr>
      <w:tc>
        <w:tcPr>
          <w:tcW w:w="6889" w:type="dxa"/>
          <w:gridSpan w:val="2"/>
        </w:tcPr>
        <w:p w:rsidR="000550F3" w:rsidRDefault="00926856">
          <w:pPr>
            <w:pStyle w:val="Titolo"/>
          </w:pPr>
          <w:r>
            <w:fldChar w:fldCharType="begin"/>
          </w:r>
          <w:r>
            <w:instrText xml:space="preserve"> STYLEREF TitLEREF \* MERGEFORMAT </w:instrText>
          </w:r>
          <w:r>
            <w:fldChar w:fldCharType="separate"/>
          </w:r>
          <w:r w:rsidR="00B77C70">
            <w:rPr>
              <w:noProof/>
            </w:rPr>
            <w:t>Comunicato stampa</w:t>
          </w:r>
          <w:r>
            <w:rPr>
              <w:noProof/>
            </w:rPr>
            <w:fldChar w:fldCharType="end"/>
          </w:r>
        </w:p>
      </w:tc>
    </w:tr>
    <w:tr w:rsidR="000550F3">
      <w:tblPrEx>
        <w:tblBorders>
          <w:insideH w:val="single" w:sz="2" w:space="0" w:color="auto"/>
        </w:tblBorders>
      </w:tblPrEx>
      <w:trPr>
        <w:trHeight w:val="227"/>
      </w:trPr>
      <w:tc>
        <w:tcPr>
          <w:tcW w:w="6889" w:type="dxa"/>
          <w:gridSpan w:val="2"/>
          <w:tcBorders>
            <w:top w:val="nil"/>
            <w:bottom w:val="single" w:sz="2" w:space="0" w:color="auto"/>
          </w:tcBorders>
        </w:tcPr>
        <w:p w:rsidR="000550F3" w:rsidRDefault="00791349">
          <w:pPr>
            <w:pStyle w:val="Page"/>
          </w:pPr>
          <w:r>
            <w:t xml:space="preserve">Pagina </w:t>
          </w:r>
          <w:r>
            <w:fldChar w:fldCharType="begin"/>
          </w:r>
          <w:r>
            <w:instrText xml:space="preserve"> PAGE  \* MERGEFORMAT </w:instrText>
          </w:r>
          <w:r>
            <w:fldChar w:fldCharType="separate"/>
          </w:r>
          <w:r w:rsidR="005E4199">
            <w:rPr>
              <w:noProof/>
            </w:rPr>
            <w:t>2</w:t>
          </w:r>
          <w:r>
            <w:fldChar w:fldCharType="end"/>
          </w:r>
          <w:r>
            <w:t xml:space="preserve"> di </w:t>
          </w:r>
          <w:r w:rsidR="00926856">
            <w:fldChar w:fldCharType="begin"/>
          </w:r>
          <w:r w:rsidR="00926856">
            <w:instrText xml:space="preserve"> NUMPAGES  \* MERGEFORMAT </w:instrText>
          </w:r>
          <w:r w:rsidR="00926856">
            <w:fldChar w:fldCharType="separate"/>
          </w:r>
          <w:r w:rsidR="005E4199">
            <w:rPr>
              <w:noProof/>
            </w:rPr>
            <w:t>2</w:t>
          </w:r>
          <w:r w:rsidR="00926856">
            <w:rPr>
              <w:noProof/>
            </w:rPr>
            <w:fldChar w:fldCharType="end"/>
          </w:r>
        </w:p>
      </w:tc>
    </w:tr>
    <w:tr w:rsidR="000550F3">
      <w:tblPrEx>
        <w:tblBorders>
          <w:insideH w:val="single" w:sz="2" w:space="0" w:color="auto"/>
        </w:tblBorders>
      </w:tblPrEx>
      <w:trPr>
        <w:trHeight w:hRule="exact" w:val="113"/>
      </w:trPr>
      <w:tc>
        <w:tcPr>
          <w:tcW w:w="6889" w:type="dxa"/>
          <w:gridSpan w:val="2"/>
          <w:tcBorders>
            <w:top w:val="single" w:sz="2" w:space="0" w:color="auto"/>
            <w:bottom w:val="nil"/>
          </w:tcBorders>
        </w:tcPr>
        <w:p w:rsidR="000550F3" w:rsidRDefault="000550F3"/>
      </w:tc>
    </w:tr>
  </w:tbl>
  <w:p w:rsidR="000550F3" w:rsidRDefault="000550F3">
    <w:pPr>
      <w:pStyle w:val="Intestazione"/>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0F3" w:rsidRDefault="000550F3">
    <w:pPr>
      <w:pStyle w:val="Intestazione"/>
    </w:pPr>
  </w:p>
  <w:p w:rsidR="000550F3" w:rsidRDefault="00791349">
    <w:pPr>
      <w:pStyle w:val="LogoBlack"/>
    </w:pPr>
    <w:r>
      <w:rPr>
        <w:noProof/>
        <w:lang w:eastAsia="it-IT"/>
      </w:rPr>
      <w:drawing>
        <wp:anchor distT="0" distB="0" distL="114300" distR="114300" simplePos="0" relativeHeight="251656192" behindDoc="0" locked="0" layoutInCell="1" allowOverlap="1">
          <wp:simplePos x="0" y="0"/>
          <wp:positionH relativeFrom="page">
            <wp:posOffset>0</wp:posOffset>
          </wp:positionH>
          <wp:positionV relativeFrom="page">
            <wp:posOffset>0</wp:posOffset>
          </wp:positionV>
          <wp:extent cx="7568565" cy="1256030"/>
          <wp:effectExtent l="0" t="0" r="0" b="1270"/>
          <wp:wrapNone/>
          <wp:docPr id="8" name="Bild 8"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 8"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568565" cy="1256030"/>
                  </a:xfrm>
                  <a:prstGeom prst="rect">
                    <a:avLst/>
                  </a:prstGeom>
                  <a:noFill/>
                  <a:ln>
                    <a:noFill/>
                  </a:ln>
                </pic:spPr>
              </pic:pic>
            </a:graphicData>
          </a:graphic>
        </wp:anchor>
      </w:drawing>
    </w:r>
  </w:p>
  <w:p w:rsidR="000550F3" w:rsidRDefault="00791349">
    <w:pPr>
      <w:pStyle w:val="LogoColor"/>
    </w:pPr>
    <w:r>
      <w:rPr>
        <w:noProof/>
        <w:lang w:eastAsia="it-IT"/>
      </w:rPr>
      <w:drawing>
        <wp:anchor distT="0" distB="0" distL="114300" distR="114300" simplePos="0" relativeHeight="251657216" behindDoc="0" locked="0" layoutInCell="1" allowOverlap="1">
          <wp:simplePos x="0" y="0"/>
          <wp:positionH relativeFrom="page">
            <wp:posOffset>0</wp:posOffset>
          </wp:positionH>
          <wp:positionV relativeFrom="page">
            <wp:posOffset>0</wp:posOffset>
          </wp:positionV>
          <wp:extent cx="7568565" cy="1256030"/>
          <wp:effectExtent l="0" t="0" r="0" b="1270"/>
          <wp:wrapNone/>
          <wp:docPr id="9" name="Bild 9"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 9"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7568565" cy="1256030"/>
                  </a:xfrm>
                  <a:prstGeom prst="rect">
                    <a:avLst/>
                  </a:prstGeom>
                  <a:noFill/>
                  <a:ln>
                    <a:noFill/>
                  </a:ln>
                </pic:spPr>
              </pic:pic>
            </a:graphicData>
          </a:graphic>
        </wp:anchor>
      </w:drawing>
    </w:r>
  </w:p>
  <w:p w:rsidR="000550F3" w:rsidRDefault="000550F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FFFFFF88"/>
    <w:lvl w:ilvl="0">
      <w:start w:val="1"/>
      <w:numFmt w:val="decimal"/>
      <w:pStyle w:val="Numeroelenco"/>
      <w:lvlText w:val="%1."/>
      <w:lvlJc w:val="left"/>
      <w:pPr>
        <w:tabs>
          <w:tab w:val="left" w:pos="360"/>
        </w:tabs>
        <w:ind w:left="312" w:hanging="312"/>
      </w:pPr>
      <w:rPr>
        <w:rFonts w:hint="default"/>
      </w:rPr>
    </w:lvl>
  </w:abstractNum>
  <w:abstractNum w:abstractNumId="1" w15:restartNumberingAfterBreak="0">
    <w:nsid w:val="FFFFFF89"/>
    <w:multiLevelType w:val="singleLevel"/>
    <w:tmpl w:val="FFFFFF89"/>
    <w:lvl w:ilvl="0">
      <w:start w:val="1"/>
      <w:numFmt w:val="bullet"/>
      <w:pStyle w:val="Puntoelenco"/>
      <w:lvlText w:val="–"/>
      <w:lvlJc w:val="left"/>
      <w:pPr>
        <w:tabs>
          <w:tab w:val="left" w:pos="360"/>
        </w:tabs>
        <w:ind w:left="312" w:hanging="312"/>
      </w:pPr>
      <w:rPr>
        <w:rFonts w:ascii="Georgia" w:hAnsi="Georgia"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66"/>
  <w:hyphenationZone w:val="425"/>
  <w:drawingGridHorizontalSpacing w:val="6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8CB"/>
    <w:rsid w:val="000550F3"/>
    <w:rsid w:val="000D661C"/>
    <w:rsid w:val="0012506A"/>
    <w:rsid w:val="00143DF4"/>
    <w:rsid w:val="001A4DFC"/>
    <w:rsid w:val="001C6EDC"/>
    <w:rsid w:val="00213CCF"/>
    <w:rsid w:val="0026299D"/>
    <w:rsid w:val="00264EEF"/>
    <w:rsid w:val="002836C9"/>
    <w:rsid w:val="002F467B"/>
    <w:rsid w:val="00303033"/>
    <w:rsid w:val="00317597"/>
    <w:rsid w:val="00380BB7"/>
    <w:rsid w:val="003824B4"/>
    <w:rsid w:val="003F5443"/>
    <w:rsid w:val="004719C9"/>
    <w:rsid w:val="004B3015"/>
    <w:rsid w:val="0058797F"/>
    <w:rsid w:val="005D254D"/>
    <w:rsid w:val="005D48DD"/>
    <w:rsid w:val="005E4199"/>
    <w:rsid w:val="006217B3"/>
    <w:rsid w:val="006318CB"/>
    <w:rsid w:val="00673B0B"/>
    <w:rsid w:val="006C31C6"/>
    <w:rsid w:val="006C5C60"/>
    <w:rsid w:val="006D6659"/>
    <w:rsid w:val="007168E4"/>
    <w:rsid w:val="00725B64"/>
    <w:rsid w:val="00767EA2"/>
    <w:rsid w:val="00791349"/>
    <w:rsid w:val="007D2409"/>
    <w:rsid w:val="007E01F3"/>
    <w:rsid w:val="007E7E4A"/>
    <w:rsid w:val="0084024A"/>
    <w:rsid w:val="0088240E"/>
    <w:rsid w:val="008C18BB"/>
    <w:rsid w:val="008D5D2D"/>
    <w:rsid w:val="008E34B4"/>
    <w:rsid w:val="00926856"/>
    <w:rsid w:val="009401D1"/>
    <w:rsid w:val="0094539F"/>
    <w:rsid w:val="00974024"/>
    <w:rsid w:val="00A30527"/>
    <w:rsid w:val="00A31DD6"/>
    <w:rsid w:val="00AF1F54"/>
    <w:rsid w:val="00B260C3"/>
    <w:rsid w:val="00B31C97"/>
    <w:rsid w:val="00B77C70"/>
    <w:rsid w:val="00B80751"/>
    <w:rsid w:val="00BE0D5E"/>
    <w:rsid w:val="00CA3224"/>
    <w:rsid w:val="00D51D64"/>
    <w:rsid w:val="00EC0B5F"/>
    <w:rsid w:val="00EC4722"/>
    <w:rsid w:val="00EF0E4B"/>
    <w:rsid w:val="00F229E0"/>
    <w:rsid w:val="00FC0CCF"/>
    <w:rsid w:val="00FD3897"/>
    <w:rsid w:val="08F259AC"/>
    <w:rsid w:val="158109A9"/>
    <w:rsid w:val="177C11C2"/>
    <w:rsid w:val="17CC13C9"/>
    <w:rsid w:val="1BC43194"/>
    <w:rsid w:val="287618FC"/>
    <w:rsid w:val="2AB4016C"/>
    <w:rsid w:val="2D9D5C18"/>
    <w:rsid w:val="32F73A1F"/>
    <w:rsid w:val="3335526E"/>
    <w:rsid w:val="3D946C49"/>
    <w:rsid w:val="3FE73161"/>
    <w:rsid w:val="400B7194"/>
    <w:rsid w:val="4AAA23DE"/>
    <w:rsid w:val="4C101705"/>
    <w:rsid w:val="594E610A"/>
    <w:rsid w:val="60D24347"/>
    <w:rsid w:val="659548E4"/>
    <w:rsid w:val="745F3D28"/>
    <w:rsid w:val="7BA83AE9"/>
    <w:rsid w:val="7F87059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EF2C2E"/>
  <w15:docId w15:val="{DEF3E143-222E-458D-A62C-1CA7821C2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pPr>
      <w:tabs>
        <w:tab w:val="left" w:pos="312"/>
      </w:tabs>
      <w:spacing w:line="255" w:lineRule="atLeast"/>
    </w:pPr>
    <w:rPr>
      <w:rFonts w:ascii="Georgia" w:hAnsi="Georgia"/>
      <w:sz w:val="19"/>
      <w:szCs w:val="24"/>
      <w:lang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semiHidden/>
    <w:unhideWhenUsed/>
    <w:pPr>
      <w:spacing w:line="240" w:lineRule="auto"/>
    </w:pPr>
    <w:rPr>
      <w:rFonts w:ascii="Segoe UI" w:hAnsi="Segoe UI" w:cs="Segoe UI"/>
      <w:sz w:val="18"/>
      <w:szCs w:val="18"/>
    </w:rPr>
  </w:style>
  <w:style w:type="paragraph" w:styleId="Testocommento">
    <w:name w:val="annotation text"/>
    <w:uiPriority w:val="99"/>
    <w:semiHidden/>
    <w:unhideWhenUsed/>
    <w:qFormat/>
    <w:rPr>
      <w:lang w:eastAsia="de-DE"/>
    </w:rPr>
  </w:style>
  <w:style w:type="paragraph" w:styleId="Pidipagina">
    <w:name w:val="footer"/>
    <w:basedOn w:val="Address"/>
  </w:style>
  <w:style w:type="paragraph" w:customStyle="1" w:styleId="Address">
    <w:name w:val="Address"/>
    <w:basedOn w:val="Normale"/>
    <w:pPr>
      <w:spacing w:line="199" w:lineRule="atLeast"/>
    </w:pPr>
    <w:rPr>
      <w:rFonts w:ascii="Arial" w:hAnsi="Arial" w:cs="Arial"/>
      <w:sz w:val="15"/>
      <w:szCs w:val="15"/>
    </w:rPr>
  </w:style>
  <w:style w:type="paragraph" w:styleId="Intestazione">
    <w:name w:val="header"/>
    <w:basedOn w:val="Normale"/>
    <w:qFormat/>
  </w:style>
  <w:style w:type="paragraph" w:styleId="Puntoelenco">
    <w:name w:val="List Bullet"/>
    <w:basedOn w:val="Normale"/>
    <w:pPr>
      <w:numPr>
        <w:numId w:val="1"/>
      </w:numPr>
      <w:tabs>
        <w:tab w:val="clear" w:pos="360"/>
      </w:tabs>
    </w:pPr>
  </w:style>
  <w:style w:type="paragraph" w:styleId="Numeroelenco">
    <w:name w:val="List Number"/>
    <w:basedOn w:val="Normale"/>
    <w:qFormat/>
    <w:pPr>
      <w:numPr>
        <w:numId w:val="2"/>
      </w:numPr>
      <w:tabs>
        <w:tab w:val="clear" w:pos="360"/>
      </w:tabs>
    </w:pPr>
  </w:style>
  <w:style w:type="paragraph" w:styleId="Titolo">
    <w:name w:val="Title"/>
    <w:basedOn w:val="Normale"/>
    <w:qFormat/>
    <w:rPr>
      <w:rFonts w:ascii="Arial" w:hAnsi="Arial" w:cs="Arial"/>
      <w:b/>
      <w:bCs/>
      <w:caps/>
      <w:kern w:val="28"/>
      <w:sz w:val="21"/>
      <w:szCs w:val="32"/>
    </w:rPr>
  </w:style>
  <w:style w:type="character" w:styleId="Rimandocommento">
    <w:name w:val="annotation reference"/>
    <w:uiPriority w:val="99"/>
    <w:semiHidden/>
    <w:unhideWhenUsed/>
    <w:rPr>
      <w:sz w:val="16"/>
      <w:szCs w:val="16"/>
    </w:rPr>
  </w:style>
  <w:style w:type="character" w:styleId="Collegamentoipertestuale">
    <w:name w:val="Hyperlink"/>
    <w:basedOn w:val="Carpredefinitoparagrafo"/>
    <w:unhideWhenUsed/>
    <w:qFormat/>
    <w:rPr>
      <w:color w:val="0000FF" w:themeColor="hyperlink"/>
      <w:u w:val="single"/>
    </w:rPr>
  </w:style>
  <w:style w:type="paragraph" w:customStyle="1" w:styleId="Subject">
    <w:name w:val="Subject"/>
    <w:basedOn w:val="Titolo"/>
    <w:rPr>
      <w:bCs w:val="0"/>
      <w:caps w:val="0"/>
      <w:sz w:val="22"/>
      <w:szCs w:val="19"/>
    </w:rPr>
  </w:style>
  <w:style w:type="paragraph" w:customStyle="1" w:styleId="LogoBlack">
    <w:name w:val="LogoBlack"/>
    <w:basedOn w:val="Intestazione"/>
  </w:style>
  <w:style w:type="paragraph" w:customStyle="1" w:styleId="LogoColor">
    <w:name w:val="LogoColor"/>
    <w:basedOn w:val="Intestazione"/>
  </w:style>
  <w:style w:type="paragraph" w:customStyle="1" w:styleId="Gruformel1">
    <w:name w:val="Grußformel1"/>
    <w:basedOn w:val="Normale"/>
    <w:qFormat/>
    <w:pPr>
      <w:keepNext/>
      <w:keepLines/>
    </w:pPr>
  </w:style>
  <w:style w:type="paragraph" w:customStyle="1" w:styleId="Page">
    <w:name w:val="Page"/>
    <w:basedOn w:val="Address"/>
    <w:qFormat/>
    <w:rPr>
      <w:caps/>
      <w:sz w:val="11"/>
    </w:rPr>
  </w:style>
  <w:style w:type="paragraph" w:customStyle="1" w:styleId="TitleRef">
    <w:name w:val="TitleRef"/>
    <w:basedOn w:val="Titolo"/>
    <w:qFormat/>
  </w:style>
  <w:style w:type="paragraph" w:customStyle="1" w:styleId="Adressline">
    <w:name w:val="Adressline"/>
    <w:basedOn w:val="Address"/>
    <w:qFormat/>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 w:type="character" w:customStyle="1" w:styleId="TestofumettoCarattere">
    <w:name w:val="Testo fumetto Carattere"/>
    <w:basedOn w:val="Carpredefinitoparagrafo"/>
    <w:link w:val="Testofumetto"/>
    <w:semiHidden/>
    <w:rPr>
      <w:rFonts w:ascii="Segoe UI"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1746</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PRESS RELEASE</vt:lpstr>
    </vt:vector>
  </TitlesOfParts>
  <Company>www.omniatraduzioni.com</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Omnia Language Solutions S.r.l.</dc:creator>
  <cp:lastModifiedBy>Favretto, Alan</cp:lastModifiedBy>
  <cp:revision>2</cp:revision>
  <cp:lastPrinted>2019-01-28T10:44:00Z</cp:lastPrinted>
  <dcterms:created xsi:type="dcterms:W3CDTF">2019-04-11T17:01:00Z</dcterms:created>
  <dcterms:modified xsi:type="dcterms:W3CDTF">2019-04-11T17:01:00Z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