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21BE" w14:textId="30B9612B" w:rsidR="00100992" w:rsidRPr="00323338" w:rsidRDefault="00980658" w:rsidP="00323338">
      <w:pPr>
        <w:pStyle w:val="Titre1"/>
        <w:spacing w:before="0"/>
        <w:rPr>
          <w:rFonts w:cstheme="majorHAnsi"/>
          <w:lang w:val="fr-FR"/>
        </w:rPr>
      </w:pPr>
      <w:bookmarkStart w:id="0" w:name="descriptif-type-allura-flex"/>
      <w:bookmarkEnd w:id="0"/>
      <w:r w:rsidRPr="00323338">
        <w:rPr>
          <w:rFonts w:cstheme="majorHAnsi"/>
          <w:lang w:val="fr-FR"/>
        </w:rPr>
        <w:t>Descriptif type : Allura flex</w:t>
      </w:r>
      <w:r w:rsidR="00CF4F50">
        <w:rPr>
          <w:rFonts w:cstheme="majorHAnsi"/>
          <w:lang w:val="fr-FR"/>
        </w:rPr>
        <w:t xml:space="preserve"> 0.55</w:t>
      </w:r>
    </w:p>
    <w:p w14:paraId="055D9D4D" w14:textId="30F125ED" w:rsidR="00323338" w:rsidRPr="008B69F9" w:rsidRDefault="00980658" w:rsidP="00422264">
      <w:pPr>
        <w:pStyle w:val="Corpsdetexte"/>
        <w:spacing w:before="0" w:after="0"/>
        <w:rPr>
          <w:rFonts w:asciiTheme="majorHAnsi" w:hAnsiTheme="majorHAnsi" w:cstheme="majorHAnsi"/>
          <w:sz w:val="22"/>
          <w:szCs w:val="22"/>
          <w:lang w:val="fr-FR"/>
        </w:rPr>
      </w:pPr>
      <w:r w:rsidRPr="00323338">
        <w:rPr>
          <w:rFonts w:asciiTheme="majorHAnsi" w:hAnsiTheme="majorHAnsi" w:cstheme="majorHAnsi"/>
          <w:lang w:val="fr-FR"/>
        </w:rPr>
        <w:br/>
      </w:r>
      <w:r w:rsidRPr="00323338">
        <w:rPr>
          <w:rFonts w:asciiTheme="majorHAnsi" w:hAnsiTheme="majorHAnsi" w:cstheme="majorHAnsi"/>
          <w:b/>
          <w:lang w:val="fr-FR"/>
        </w:rPr>
        <w:t xml:space="preserve">Revêtement de sol </w:t>
      </w:r>
      <w:r w:rsidR="00323338">
        <w:rPr>
          <w:rFonts w:asciiTheme="majorHAnsi" w:hAnsiTheme="majorHAnsi" w:cstheme="majorHAnsi"/>
          <w:b/>
          <w:lang w:val="fr-FR"/>
        </w:rPr>
        <w:t>LVT</w:t>
      </w:r>
      <w:r w:rsidRPr="00323338">
        <w:rPr>
          <w:rFonts w:asciiTheme="majorHAnsi" w:hAnsiTheme="majorHAnsi" w:cstheme="majorHAnsi"/>
          <w:b/>
          <w:lang w:val="fr-FR"/>
        </w:rPr>
        <w:t xml:space="preserve"> U</w:t>
      </w:r>
      <w:r w:rsidR="00CF4F50">
        <w:rPr>
          <w:rFonts w:asciiTheme="majorHAnsi" w:hAnsiTheme="majorHAnsi" w:cstheme="majorHAnsi"/>
          <w:b/>
          <w:lang w:val="fr-FR"/>
        </w:rPr>
        <w:t>3</w:t>
      </w:r>
      <w:r w:rsidRPr="00323338">
        <w:rPr>
          <w:rFonts w:asciiTheme="majorHAnsi" w:hAnsiTheme="majorHAnsi" w:cstheme="majorHAnsi"/>
          <w:b/>
          <w:lang w:val="fr-FR"/>
        </w:rPr>
        <w:t xml:space="preserve"> P3 en dalles ou en lames plombantes amovibles</w:t>
      </w:r>
      <w:r w:rsidRPr="00323338">
        <w:rPr>
          <w:rFonts w:asciiTheme="majorHAnsi" w:hAnsiTheme="majorHAnsi" w:cstheme="majorHAnsi"/>
          <w:lang w:val="fr-FR"/>
        </w:rPr>
        <w:br/>
      </w:r>
      <w:r w:rsidRPr="008B69F9">
        <w:rPr>
          <w:rFonts w:asciiTheme="majorHAnsi" w:hAnsiTheme="majorHAnsi" w:cstheme="majorHAnsi"/>
          <w:sz w:val="22"/>
          <w:szCs w:val="22"/>
          <w:lang w:val="fr-FR"/>
        </w:rPr>
        <w:t xml:space="preserve">Fourniture et pose de dalles ou de lames PVC plombantes </w:t>
      </w:r>
      <w:r w:rsidR="00323338" w:rsidRPr="008B69F9">
        <w:rPr>
          <w:rFonts w:asciiTheme="majorHAnsi" w:hAnsiTheme="majorHAnsi" w:cstheme="majorHAnsi"/>
          <w:sz w:val="22"/>
          <w:szCs w:val="22"/>
          <w:lang w:val="fr-FR"/>
        </w:rPr>
        <w:t>validé</w:t>
      </w:r>
      <w:r w:rsidR="00CE3CBB">
        <w:rPr>
          <w:rFonts w:asciiTheme="majorHAnsi" w:hAnsiTheme="majorHAnsi" w:cstheme="majorHAnsi"/>
          <w:sz w:val="22"/>
          <w:szCs w:val="22"/>
          <w:lang w:val="fr-FR"/>
        </w:rPr>
        <w:t>es</w:t>
      </w:r>
      <w:r w:rsidR="00323338" w:rsidRPr="008B69F9">
        <w:rPr>
          <w:rFonts w:asciiTheme="majorHAnsi" w:hAnsiTheme="majorHAnsi" w:cstheme="majorHAnsi"/>
          <w:sz w:val="22"/>
          <w:szCs w:val="22"/>
          <w:lang w:val="fr-FR"/>
        </w:rPr>
        <w:t xml:space="preserve"> par </w:t>
      </w:r>
      <w:r w:rsidR="00323338" w:rsidRPr="002841A5">
        <w:rPr>
          <w:rFonts w:asciiTheme="majorHAnsi" w:hAnsiTheme="majorHAnsi" w:cstheme="majorHAnsi"/>
          <w:b/>
          <w:bCs/>
          <w:sz w:val="22"/>
          <w:szCs w:val="22"/>
          <w:lang w:val="fr-FR"/>
        </w:rPr>
        <w:t>un Avis Technique</w:t>
      </w:r>
      <w:r w:rsidR="00323338" w:rsidRPr="008B69F9">
        <w:rPr>
          <w:sz w:val="22"/>
          <w:szCs w:val="22"/>
          <w:lang w:val="fr-FR"/>
        </w:rPr>
        <w:t xml:space="preserve"> </w:t>
      </w:r>
      <w:r w:rsidR="00323338" w:rsidRPr="008B69F9">
        <w:rPr>
          <w:rFonts w:asciiTheme="majorHAnsi" w:hAnsiTheme="majorHAnsi" w:cstheme="majorHAnsi"/>
          <w:sz w:val="22"/>
          <w:szCs w:val="22"/>
          <w:lang w:val="fr-FR"/>
        </w:rPr>
        <w:t xml:space="preserve">et revendiquées apte à l'emploi dans les locaux classés au plus </w:t>
      </w:r>
      <w:r w:rsidRPr="002841A5">
        <w:rPr>
          <w:rFonts w:asciiTheme="majorHAnsi" w:hAnsiTheme="majorHAnsi" w:cstheme="majorHAnsi"/>
          <w:b/>
          <w:bCs/>
          <w:sz w:val="22"/>
          <w:szCs w:val="22"/>
          <w:lang w:val="fr-FR"/>
        </w:rPr>
        <w:t>U</w:t>
      </w:r>
      <w:r w:rsidR="00CF4F50" w:rsidRPr="002841A5">
        <w:rPr>
          <w:rFonts w:asciiTheme="majorHAnsi" w:hAnsiTheme="majorHAnsi" w:cstheme="majorHAnsi"/>
          <w:b/>
          <w:bCs/>
          <w:sz w:val="22"/>
          <w:szCs w:val="22"/>
          <w:lang w:val="fr-FR"/>
        </w:rPr>
        <w:t>3</w:t>
      </w:r>
      <w:r w:rsidRPr="002841A5">
        <w:rPr>
          <w:rFonts w:asciiTheme="majorHAnsi" w:hAnsiTheme="majorHAnsi" w:cstheme="majorHAnsi"/>
          <w:b/>
          <w:bCs/>
          <w:sz w:val="22"/>
          <w:szCs w:val="22"/>
          <w:lang w:val="fr-FR"/>
        </w:rPr>
        <w:t xml:space="preserve"> P3 E1/2 C2</w:t>
      </w:r>
      <w:r w:rsidRPr="008B69F9">
        <w:rPr>
          <w:rFonts w:asciiTheme="majorHAnsi" w:hAnsiTheme="majorHAnsi" w:cstheme="majorHAnsi"/>
          <w:sz w:val="22"/>
          <w:szCs w:val="22"/>
          <w:lang w:val="fr-FR"/>
        </w:rPr>
        <w:t xml:space="preserve"> type </w:t>
      </w:r>
      <w:r w:rsidRPr="002841A5">
        <w:rPr>
          <w:rFonts w:asciiTheme="majorHAnsi" w:hAnsiTheme="majorHAnsi" w:cstheme="majorHAnsi"/>
          <w:b/>
          <w:bCs/>
          <w:sz w:val="22"/>
          <w:szCs w:val="22"/>
          <w:lang w:val="fr-FR"/>
        </w:rPr>
        <w:t>Allura flex</w:t>
      </w:r>
      <w:r w:rsidR="00CF4F50" w:rsidRPr="002841A5">
        <w:rPr>
          <w:rFonts w:asciiTheme="majorHAnsi" w:hAnsiTheme="majorHAnsi" w:cstheme="majorHAnsi"/>
          <w:b/>
          <w:bCs/>
          <w:sz w:val="22"/>
          <w:szCs w:val="22"/>
          <w:lang w:val="fr-FR"/>
        </w:rPr>
        <w:t xml:space="preserve"> 0.55</w:t>
      </w:r>
      <w:r w:rsidRPr="002841A5">
        <w:rPr>
          <w:rFonts w:asciiTheme="majorHAnsi" w:hAnsiTheme="majorHAnsi" w:cstheme="majorHAnsi"/>
          <w:b/>
          <w:bCs/>
          <w:sz w:val="22"/>
          <w:szCs w:val="22"/>
          <w:lang w:val="fr-FR"/>
        </w:rPr>
        <w:t>.</w:t>
      </w:r>
      <w:r w:rsidRPr="008B69F9">
        <w:rPr>
          <w:rFonts w:asciiTheme="majorHAnsi" w:hAnsiTheme="majorHAnsi" w:cstheme="majorHAnsi"/>
          <w:sz w:val="22"/>
          <w:szCs w:val="22"/>
          <w:lang w:val="fr-FR"/>
        </w:rPr>
        <w:t xml:space="preserve"> </w:t>
      </w:r>
    </w:p>
    <w:p w14:paraId="7377E752" w14:textId="43702DDA" w:rsidR="008B69F9" w:rsidRPr="005D2DB4" w:rsidRDefault="008B69F9" w:rsidP="00422264">
      <w:pPr>
        <w:pStyle w:val="Corpsdetexte"/>
        <w:spacing w:before="0" w:after="0"/>
        <w:rPr>
          <w:rFonts w:asciiTheme="majorHAnsi" w:hAnsiTheme="majorHAnsi" w:cstheme="majorHAnsi"/>
          <w:sz w:val="22"/>
          <w:szCs w:val="22"/>
          <w:lang w:val="fr-FR"/>
        </w:rPr>
      </w:pPr>
      <w:r w:rsidRPr="005D2DB4">
        <w:rPr>
          <w:rFonts w:asciiTheme="majorHAnsi" w:hAnsiTheme="majorHAnsi" w:cstheme="majorHAnsi"/>
          <w:sz w:val="22"/>
          <w:szCs w:val="22"/>
          <w:lang w:val="fr-FR"/>
        </w:rPr>
        <w:t xml:space="preserve">D’une </w:t>
      </w:r>
      <w:r w:rsidRPr="002841A5">
        <w:rPr>
          <w:rFonts w:asciiTheme="majorHAnsi" w:hAnsiTheme="majorHAnsi" w:cstheme="majorHAnsi"/>
          <w:b/>
          <w:bCs/>
          <w:sz w:val="22"/>
          <w:szCs w:val="22"/>
          <w:lang w:val="fr-FR"/>
        </w:rPr>
        <w:t xml:space="preserve">épaisseur totale de </w:t>
      </w:r>
      <w:r w:rsidR="00CF4F50" w:rsidRPr="002841A5">
        <w:rPr>
          <w:rFonts w:asciiTheme="majorHAnsi" w:hAnsiTheme="majorHAnsi" w:cstheme="majorHAnsi"/>
          <w:b/>
          <w:bCs/>
          <w:sz w:val="22"/>
          <w:szCs w:val="22"/>
          <w:lang w:val="fr-FR"/>
        </w:rPr>
        <w:t>4</w:t>
      </w:r>
      <w:r w:rsidRPr="002841A5">
        <w:rPr>
          <w:rFonts w:asciiTheme="majorHAnsi" w:hAnsiTheme="majorHAnsi" w:cstheme="majorHAnsi"/>
          <w:b/>
          <w:bCs/>
          <w:sz w:val="22"/>
          <w:szCs w:val="22"/>
          <w:lang w:val="fr-FR"/>
        </w:rPr>
        <w:t xml:space="preserve"> mm</w:t>
      </w:r>
      <w:r w:rsidRPr="005D2DB4">
        <w:rPr>
          <w:rFonts w:asciiTheme="majorHAnsi" w:hAnsiTheme="majorHAnsi" w:cstheme="majorHAnsi"/>
          <w:sz w:val="22"/>
          <w:szCs w:val="22"/>
          <w:lang w:val="fr-FR"/>
        </w:rPr>
        <w:t xml:space="preserve">, ce revêtement de sol LVT en pose </w:t>
      </w:r>
      <w:r w:rsidR="003148C3">
        <w:rPr>
          <w:rFonts w:asciiTheme="majorHAnsi" w:hAnsiTheme="majorHAnsi" w:cstheme="majorHAnsi"/>
          <w:sz w:val="22"/>
          <w:szCs w:val="22"/>
          <w:lang w:val="fr-FR"/>
        </w:rPr>
        <w:t xml:space="preserve">plombante </w:t>
      </w:r>
      <w:r w:rsidRPr="005D2DB4">
        <w:rPr>
          <w:rFonts w:asciiTheme="majorHAnsi" w:hAnsiTheme="majorHAnsi" w:cstheme="majorHAnsi"/>
          <w:sz w:val="22"/>
          <w:szCs w:val="22"/>
          <w:lang w:val="fr-FR"/>
        </w:rPr>
        <w:t xml:space="preserve">sera doté d’une </w:t>
      </w:r>
      <w:r w:rsidRPr="002841A5">
        <w:rPr>
          <w:rFonts w:asciiTheme="majorHAnsi" w:hAnsiTheme="majorHAnsi" w:cstheme="majorHAnsi"/>
          <w:b/>
          <w:bCs/>
          <w:sz w:val="22"/>
          <w:szCs w:val="22"/>
          <w:lang w:val="fr-FR"/>
        </w:rPr>
        <w:t>couche d’usure</w:t>
      </w:r>
      <w:r w:rsidR="003148C3" w:rsidRPr="002841A5">
        <w:rPr>
          <w:rFonts w:asciiTheme="majorHAnsi" w:hAnsiTheme="majorHAnsi" w:cstheme="majorHAnsi"/>
          <w:b/>
          <w:bCs/>
          <w:sz w:val="22"/>
          <w:szCs w:val="22"/>
          <w:lang w:val="fr-FR"/>
        </w:rPr>
        <w:t xml:space="preserve"> </w:t>
      </w:r>
      <w:r w:rsidRPr="002841A5">
        <w:rPr>
          <w:rFonts w:asciiTheme="majorHAnsi" w:hAnsiTheme="majorHAnsi" w:cstheme="majorHAnsi"/>
          <w:b/>
          <w:bCs/>
          <w:sz w:val="22"/>
          <w:szCs w:val="22"/>
          <w:lang w:val="fr-FR"/>
        </w:rPr>
        <w:t xml:space="preserve">de </w:t>
      </w:r>
      <w:r w:rsidR="00CF4F50" w:rsidRPr="002841A5">
        <w:rPr>
          <w:rFonts w:asciiTheme="majorHAnsi" w:hAnsiTheme="majorHAnsi" w:cstheme="majorHAnsi"/>
          <w:b/>
          <w:bCs/>
          <w:sz w:val="22"/>
          <w:szCs w:val="22"/>
          <w:lang w:val="fr-FR"/>
        </w:rPr>
        <w:t>0,55</w:t>
      </w:r>
      <w:r w:rsidRPr="002841A5">
        <w:rPr>
          <w:rFonts w:asciiTheme="majorHAnsi" w:hAnsiTheme="majorHAnsi" w:cstheme="majorHAnsi"/>
          <w:b/>
          <w:bCs/>
          <w:sz w:val="22"/>
          <w:szCs w:val="22"/>
          <w:lang w:val="fr-FR"/>
        </w:rPr>
        <w:t xml:space="preserve"> mm </w:t>
      </w:r>
      <w:r w:rsidRPr="005D2DB4">
        <w:rPr>
          <w:rFonts w:asciiTheme="majorHAnsi" w:hAnsiTheme="majorHAnsi" w:cstheme="majorHAnsi"/>
          <w:sz w:val="22"/>
          <w:szCs w:val="22"/>
          <w:lang w:val="fr-FR"/>
        </w:rPr>
        <w:t xml:space="preserve">en PVC compact transparente groupe T d’abrasion et d’une armature en voile de verre lui conférant une parfaite </w:t>
      </w:r>
      <w:r w:rsidRPr="002841A5">
        <w:rPr>
          <w:rFonts w:asciiTheme="majorHAnsi" w:hAnsiTheme="majorHAnsi" w:cstheme="majorHAnsi"/>
          <w:b/>
          <w:bCs/>
          <w:sz w:val="22"/>
          <w:szCs w:val="22"/>
          <w:lang w:val="fr-FR"/>
        </w:rPr>
        <w:t>stabilité dimensionnelle ≤ 0,05 %</w:t>
      </w:r>
      <w:r w:rsidRPr="005D2DB4">
        <w:rPr>
          <w:rFonts w:asciiTheme="majorHAnsi" w:hAnsiTheme="majorHAnsi" w:cstheme="majorHAnsi"/>
          <w:sz w:val="22"/>
          <w:szCs w:val="22"/>
          <w:lang w:val="fr-FR"/>
        </w:rPr>
        <w:t xml:space="preserve"> et une excellente </w:t>
      </w:r>
      <w:r w:rsidRPr="002841A5">
        <w:rPr>
          <w:rFonts w:asciiTheme="majorHAnsi" w:hAnsiTheme="majorHAnsi" w:cstheme="majorHAnsi"/>
          <w:b/>
          <w:bCs/>
          <w:sz w:val="22"/>
          <w:szCs w:val="22"/>
          <w:lang w:val="fr-FR"/>
        </w:rPr>
        <w:t>résistance au poinçonnement rémanent ≤ 0,10 mm</w:t>
      </w:r>
      <w:r w:rsidRPr="005D2DB4">
        <w:rPr>
          <w:rFonts w:asciiTheme="majorHAnsi" w:hAnsiTheme="majorHAnsi" w:cstheme="majorHAnsi"/>
          <w:sz w:val="22"/>
          <w:szCs w:val="22"/>
          <w:lang w:val="fr-FR"/>
        </w:rPr>
        <w:t xml:space="preserve">. Pour finir, </w:t>
      </w:r>
      <w:r>
        <w:rPr>
          <w:rFonts w:asciiTheme="majorHAnsi" w:hAnsiTheme="majorHAnsi" w:cstheme="majorHAnsi"/>
          <w:sz w:val="22"/>
          <w:szCs w:val="22"/>
          <w:lang w:val="fr-FR"/>
        </w:rPr>
        <w:t xml:space="preserve">Allura flex </w:t>
      </w:r>
      <w:r w:rsidR="00CF4F50">
        <w:rPr>
          <w:rFonts w:asciiTheme="majorHAnsi" w:hAnsiTheme="majorHAnsi" w:cstheme="majorHAnsi"/>
          <w:sz w:val="22"/>
          <w:szCs w:val="22"/>
          <w:lang w:val="fr-FR"/>
        </w:rPr>
        <w:t xml:space="preserve">0.55 </w:t>
      </w:r>
      <w:r w:rsidRPr="002841A5">
        <w:rPr>
          <w:rFonts w:asciiTheme="majorHAnsi" w:hAnsiTheme="majorHAnsi" w:cstheme="majorHAnsi"/>
          <w:b/>
          <w:bCs/>
          <w:sz w:val="22"/>
          <w:szCs w:val="22"/>
          <w:lang w:val="fr-FR"/>
        </w:rPr>
        <w:t>classé B</w:t>
      </w:r>
      <w:r w:rsidRPr="002841A5">
        <w:rPr>
          <w:rFonts w:asciiTheme="majorHAnsi" w:hAnsiTheme="majorHAnsi" w:cstheme="majorHAnsi"/>
          <w:b/>
          <w:bCs/>
          <w:sz w:val="22"/>
          <w:szCs w:val="22"/>
          <w:vertAlign w:val="subscript"/>
          <w:lang w:val="fr-FR"/>
        </w:rPr>
        <w:t>fl</w:t>
      </w:r>
      <w:r w:rsidRPr="002841A5">
        <w:rPr>
          <w:rFonts w:asciiTheme="majorHAnsi" w:hAnsiTheme="majorHAnsi" w:cstheme="majorHAnsi"/>
          <w:b/>
          <w:bCs/>
          <w:sz w:val="22"/>
          <w:szCs w:val="22"/>
          <w:lang w:val="fr-FR"/>
        </w:rPr>
        <w:t>-s1</w:t>
      </w:r>
      <w:r w:rsidRPr="005D2DB4">
        <w:rPr>
          <w:rFonts w:asciiTheme="majorHAnsi" w:hAnsiTheme="majorHAnsi" w:cstheme="majorHAnsi"/>
          <w:sz w:val="22"/>
          <w:szCs w:val="22"/>
          <w:lang w:val="fr-FR"/>
        </w:rPr>
        <w:t xml:space="preserve"> selon la norme de réaction au feu, bénéficiera d’une </w:t>
      </w:r>
      <w:r w:rsidRPr="002841A5">
        <w:rPr>
          <w:rFonts w:asciiTheme="majorHAnsi" w:hAnsiTheme="majorHAnsi" w:cstheme="majorHAnsi"/>
          <w:b/>
          <w:bCs/>
          <w:sz w:val="22"/>
          <w:szCs w:val="22"/>
          <w:lang w:val="fr-FR"/>
        </w:rPr>
        <w:t>résistance à la glissance R10</w:t>
      </w:r>
      <w:r w:rsidR="003148C3">
        <w:rPr>
          <w:rFonts w:asciiTheme="majorHAnsi" w:hAnsiTheme="majorHAnsi" w:cstheme="majorHAnsi"/>
          <w:sz w:val="22"/>
          <w:szCs w:val="22"/>
          <w:lang w:val="fr-FR"/>
        </w:rPr>
        <w:t xml:space="preserve"> et d’une </w:t>
      </w:r>
      <w:r w:rsidR="003148C3" w:rsidRPr="002841A5">
        <w:rPr>
          <w:rFonts w:asciiTheme="majorHAnsi" w:hAnsiTheme="majorHAnsi" w:cstheme="majorHAnsi"/>
          <w:b/>
          <w:bCs/>
          <w:sz w:val="22"/>
          <w:szCs w:val="22"/>
          <w:lang w:val="fr-FR"/>
        </w:rPr>
        <w:t>efficacité acoustique 14 dB.</w:t>
      </w:r>
      <w:r w:rsidRPr="002841A5">
        <w:rPr>
          <w:rFonts w:asciiTheme="majorHAnsi" w:hAnsiTheme="majorHAnsi" w:cstheme="majorHAnsi"/>
          <w:b/>
          <w:bCs/>
          <w:sz w:val="22"/>
          <w:szCs w:val="22"/>
          <w:lang w:val="fr-FR"/>
        </w:rPr>
        <w:t xml:space="preserve"> </w:t>
      </w:r>
    </w:p>
    <w:p w14:paraId="0391B1E5" w14:textId="629F4FA7" w:rsidR="003148C3" w:rsidRPr="0072141E" w:rsidRDefault="003148C3" w:rsidP="00422264">
      <w:pPr>
        <w:pStyle w:val="FirstParagraph"/>
        <w:spacing w:before="0" w:after="0"/>
        <w:rPr>
          <w:rFonts w:asciiTheme="majorHAnsi" w:hAnsiTheme="majorHAnsi" w:cstheme="majorHAnsi"/>
          <w:sz w:val="22"/>
          <w:szCs w:val="22"/>
          <w:lang w:val="fr-FR"/>
        </w:rPr>
      </w:pPr>
      <w:r w:rsidRPr="0072141E">
        <w:rPr>
          <w:rFonts w:asciiTheme="majorHAnsi" w:hAnsiTheme="majorHAnsi" w:cstheme="majorHAnsi"/>
          <w:sz w:val="22"/>
          <w:szCs w:val="22"/>
          <w:lang w:val="fr-FR"/>
        </w:rPr>
        <w:t xml:space="preserve">Avec ses </w:t>
      </w:r>
      <w:r w:rsidR="00CF4F50" w:rsidRPr="002841A5">
        <w:rPr>
          <w:rFonts w:asciiTheme="majorHAnsi" w:hAnsiTheme="majorHAnsi" w:cstheme="majorHAnsi"/>
          <w:b/>
          <w:bCs/>
          <w:sz w:val="22"/>
          <w:szCs w:val="22"/>
          <w:lang w:val="fr-FR"/>
        </w:rPr>
        <w:t>54</w:t>
      </w:r>
      <w:r w:rsidRPr="002841A5">
        <w:rPr>
          <w:rFonts w:asciiTheme="majorHAnsi" w:hAnsiTheme="majorHAnsi" w:cstheme="majorHAnsi"/>
          <w:b/>
          <w:bCs/>
          <w:sz w:val="22"/>
          <w:szCs w:val="22"/>
          <w:lang w:val="fr-FR"/>
        </w:rPr>
        <w:t xml:space="preserve"> références</w:t>
      </w:r>
      <w:r w:rsidRPr="0072141E">
        <w:rPr>
          <w:rFonts w:asciiTheme="majorHAnsi" w:hAnsiTheme="majorHAnsi" w:cstheme="majorHAnsi"/>
          <w:sz w:val="22"/>
          <w:szCs w:val="22"/>
          <w:lang w:val="fr-FR"/>
        </w:rPr>
        <w:t xml:space="preserve"> </w:t>
      </w:r>
      <w:r>
        <w:rPr>
          <w:rFonts w:asciiTheme="majorHAnsi" w:hAnsiTheme="majorHAnsi" w:cstheme="majorHAnsi"/>
          <w:sz w:val="22"/>
          <w:szCs w:val="22"/>
          <w:lang w:val="fr-FR"/>
        </w:rPr>
        <w:t xml:space="preserve">pouvant être </w:t>
      </w:r>
      <w:r w:rsidRPr="002841A5">
        <w:rPr>
          <w:rFonts w:asciiTheme="majorHAnsi" w:hAnsiTheme="majorHAnsi" w:cstheme="majorHAnsi"/>
          <w:b/>
          <w:bCs/>
          <w:sz w:val="22"/>
          <w:szCs w:val="22"/>
          <w:lang w:val="fr-FR"/>
        </w:rPr>
        <w:t>chanfreiné</w:t>
      </w:r>
      <w:r w:rsidR="002841A5">
        <w:rPr>
          <w:rFonts w:asciiTheme="majorHAnsi" w:hAnsiTheme="majorHAnsi" w:cstheme="majorHAnsi"/>
          <w:b/>
          <w:bCs/>
          <w:sz w:val="22"/>
          <w:szCs w:val="22"/>
          <w:lang w:val="fr-FR"/>
        </w:rPr>
        <w:t>e</w:t>
      </w:r>
      <w:r w:rsidRPr="002841A5">
        <w:rPr>
          <w:rFonts w:asciiTheme="majorHAnsi" w:hAnsiTheme="majorHAnsi" w:cstheme="majorHAnsi"/>
          <w:b/>
          <w:bCs/>
          <w:sz w:val="22"/>
          <w:szCs w:val="22"/>
          <w:lang w:val="fr-FR"/>
        </w:rPr>
        <w:t>s 2 ou 4 côtés</w:t>
      </w:r>
      <w:r>
        <w:rPr>
          <w:rFonts w:asciiTheme="majorHAnsi" w:hAnsiTheme="majorHAnsi" w:cstheme="majorHAnsi"/>
          <w:sz w:val="22"/>
          <w:szCs w:val="22"/>
          <w:lang w:val="fr-FR"/>
        </w:rPr>
        <w:t xml:space="preserve"> </w:t>
      </w:r>
      <w:r w:rsidRPr="0072141E">
        <w:rPr>
          <w:rFonts w:asciiTheme="majorHAnsi" w:hAnsiTheme="majorHAnsi" w:cstheme="majorHAnsi"/>
          <w:sz w:val="22"/>
          <w:szCs w:val="22"/>
          <w:lang w:val="fr-FR"/>
        </w:rPr>
        <w:t xml:space="preserve">et ses </w:t>
      </w:r>
      <w:r w:rsidRPr="002841A5">
        <w:rPr>
          <w:rFonts w:asciiTheme="majorHAnsi" w:hAnsiTheme="majorHAnsi" w:cstheme="majorHAnsi"/>
          <w:b/>
          <w:bCs/>
          <w:sz w:val="22"/>
          <w:szCs w:val="22"/>
          <w:lang w:val="fr-FR"/>
        </w:rPr>
        <w:t>9 formats différents</w:t>
      </w:r>
      <w:r w:rsidRPr="0072141E">
        <w:rPr>
          <w:rFonts w:asciiTheme="majorHAnsi" w:hAnsiTheme="majorHAnsi" w:cstheme="majorHAnsi"/>
          <w:sz w:val="22"/>
          <w:szCs w:val="22"/>
          <w:lang w:val="fr-FR"/>
        </w:rPr>
        <w:t>, Allura</w:t>
      </w:r>
      <w:r>
        <w:rPr>
          <w:rFonts w:asciiTheme="majorHAnsi" w:hAnsiTheme="majorHAnsi" w:cstheme="majorHAnsi"/>
          <w:sz w:val="22"/>
          <w:szCs w:val="22"/>
          <w:lang w:val="fr-FR"/>
        </w:rPr>
        <w:t xml:space="preserve"> flex </w:t>
      </w:r>
      <w:r w:rsidR="00CF4F50">
        <w:rPr>
          <w:rFonts w:asciiTheme="majorHAnsi" w:hAnsiTheme="majorHAnsi" w:cstheme="majorHAnsi"/>
          <w:sz w:val="22"/>
          <w:szCs w:val="22"/>
          <w:lang w:val="fr-FR"/>
        </w:rPr>
        <w:t>0.55</w:t>
      </w:r>
      <w:r>
        <w:rPr>
          <w:rFonts w:asciiTheme="majorHAnsi" w:hAnsiTheme="majorHAnsi" w:cstheme="majorHAnsi"/>
          <w:sz w:val="22"/>
          <w:szCs w:val="22"/>
          <w:lang w:val="fr-FR"/>
        </w:rPr>
        <w:t xml:space="preserve"> </w:t>
      </w:r>
      <w:r w:rsidRPr="0072141E">
        <w:rPr>
          <w:rFonts w:asciiTheme="majorHAnsi" w:hAnsiTheme="majorHAnsi" w:cstheme="majorHAnsi"/>
          <w:sz w:val="22"/>
          <w:szCs w:val="22"/>
          <w:lang w:val="fr-FR"/>
        </w:rPr>
        <w:t xml:space="preserve">vous donnera </w:t>
      </w:r>
      <w:r>
        <w:rPr>
          <w:rFonts w:asciiTheme="majorHAnsi" w:hAnsiTheme="majorHAnsi" w:cstheme="majorHAnsi"/>
          <w:sz w:val="22"/>
          <w:szCs w:val="22"/>
          <w:lang w:val="fr-FR"/>
        </w:rPr>
        <w:t xml:space="preserve">accès à </w:t>
      </w:r>
      <w:r w:rsidRPr="0072141E">
        <w:rPr>
          <w:rFonts w:asciiTheme="majorHAnsi" w:hAnsiTheme="majorHAnsi" w:cstheme="majorHAnsi"/>
          <w:sz w:val="22"/>
          <w:szCs w:val="22"/>
          <w:lang w:val="fr-FR"/>
        </w:rPr>
        <w:t xml:space="preserve">une liberté de </w:t>
      </w:r>
      <w:r w:rsidR="00422264">
        <w:rPr>
          <w:rFonts w:asciiTheme="majorHAnsi" w:hAnsiTheme="majorHAnsi" w:cstheme="majorHAnsi"/>
          <w:sz w:val="22"/>
          <w:szCs w:val="22"/>
          <w:lang w:val="fr-FR"/>
        </w:rPr>
        <w:t>réalisation</w:t>
      </w:r>
      <w:r w:rsidRPr="0072141E">
        <w:rPr>
          <w:rFonts w:asciiTheme="majorHAnsi" w:hAnsiTheme="majorHAnsi" w:cstheme="majorHAnsi"/>
          <w:sz w:val="22"/>
          <w:szCs w:val="22"/>
          <w:lang w:val="fr-FR"/>
        </w:rPr>
        <w:t xml:space="preserve"> illimité</w:t>
      </w:r>
      <w:r>
        <w:rPr>
          <w:rFonts w:asciiTheme="majorHAnsi" w:hAnsiTheme="majorHAnsi" w:cstheme="majorHAnsi"/>
          <w:sz w:val="22"/>
          <w:szCs w:val="22"/>
          <w:lang w:val="fr-FR"/>
        </w:rPr>
        <w:t>e</w:t>
      </w:r>
      <w:r w:rsidRPr="0072141E">
        <w:rPr>
          <w:rFonts w:asciiTheme="majorHAnsi" w:hAnsiTheme="majorHAnsi" w:cstheme="majorHAnsi"/>
          <w:sz w:val="22"/>
          <w:szCs w:val="22"/>
          <w:lang w:val="fr-FR"/>
        </w:rPr>
        <w:t>, pour un</w:t>
      </w:r>
      <w:r w:rsidR="00422264">
        <w:rPr>
          <w:rFonts w:asciiTheme="majorHAnsi" w:hAnsiTheme="majorHAnsi" w:cstheme="majorHAnsi"/>
          <w:sz w:val="22"/>
          <w:szCs w:val="22"/>
          <w:lang w:val="fr-FR"/>
        </w:rPr>
        <w:t>e</w:t>
      </w:r>
      <w:r w:rsidRPr="0072141E">
        <w:rPr>
          <w:rFonts w:asciiTheme="majorHAnsi" w:hAnsiTheme="majorHAnsi" w:cstheme="majorHAnsi"/>
          <w:sz w:val="22"/>
          <w:szCs w:val="22"/>
          <w:lang w:val="fr-FR"/>
        </w:rPr>
        <w:t xml:space="preserve"> réponse à chaque besoin. </w:t>
      </w:r>
    </w:p>
    <w:p w14:paraId="4794109F" w14:textId="19B4F869" w:rsidR="00422264" w:rsidRDefault="008B69F9" w:rsidP="00422264">
      <w:pPr>
        <w:pStyle w:val="Compact"/>
        <w:spacing w:before="0" w:after="0"/>
        <w:rPr>
          <w:rFonts w:asciiTheme="majorHAnsi" w:hAnsiTheme="majorHAnsi" w:cstheme="majorHAnsi"/>
          <w:sz w:val="22"/>
          <w:szCs w:val="22"/>
          <w:lang w:val="fr-FR"/>
        </w:rPr>
      </w:pPr>
      <w:r w:rsidRPr="002841A5">
        <w:rPr>
          <w:rFonts w:asciiTheme="majorHAnsi" w:hAnsiTheme="majorHAnsi" w:cstheme="majorHAnsi"/>
          <w:b/>
          <w:bCs/>
          <w:sz w:val="22"/>
          <w:szCs w:val="22"/>
          <w:lang w:val="fr-FR"/>
        </w:rPr>
        <w:t>Fabriqué en Europe</w:t>
      </w:r>
      <w:r w:rsidRPr="002617C8">
        <w:rPr>
          <w:rFonts w:asciiTheme="majorHAnsi" w:hAnsiTheme="majorHAnsi" w:cstheme="majorHAnsi"/>
          <w:sz w:val="22"/>
          <w:szCs w:val="22"/>
          <w:lang w:val="fr-FR"/>
        </w:rPr>
        <w:t xml:space="preserve"> à partir de </w:t>
      </w:r>
      <w:r w:rsidRPr="002841A5">
        <w:rPr>
          <w:rFonts w:asciiTheme="majorHAnsi" w:hAnsiTheme="majorHAnsi" w:cstheme="majorHAnsi"/>
          <w:b/>
          <w:bCs/>
          <w:sz w:val="22"/>
          <w:szCs w:val="22"/>
          <w:lang w:val="fr-FR"/>
        </w:rPr>
        <w:t>matières premières garanties sans phtalate</w:t>
      </w:r>
      <w:r w:rsidRPr="002617C8">
        <w:rPr>
          <w:rFonts w:asciiTheme="majorHAnsi" w:hAnsiTheme="majorHAnsi" w:cstheme="majorHAnsi"/>
          <w:sz w:val="22"/>
          <w:szCs w:val="22"/>
          <w:lang w:val="fr-FR"/>
        </w:rPr>
        <w:t xml:space="preserve"> et intégrant </w:t>
      </w:r>
      <w:r w:rsidR="003148C3" w:rsidRPr="002841A5">
        <w:rPr>
          <w:rFonts w:asciiTheme="majorHAnsi" w:hAnsiTheme="majorHAnsi" w:cstheme="majorHAnsi"/>
          <w:b/>
          <w:bCs/>
          <w:sz w:val="22"/>
          <w:szCs w:val="22"/>
          <w:lang w:val="fr-FR"/>
        </w:rPr>
        <w:t>2</w:t>
      </w:r>
      <w:r w:rsidR="00CF4F50" w:rsidRPr="002841A5">
        <w:rPr>
          <w:rFonts w:asciiTheme="majorHAnsi" w:hAnsiTheme="majorHAnsi" w:cstheme="majorHAnsi"/>
          <w:b/>
          <w:bCs/>
          <w:sz w:val="22"/>
          <w:szCs w:val="22"/>
          <w:lang w:val="fr-FR"/>
        </w:rPr>
        <w:t>0</w:t>
      </w:r>
      <w:r w:rsidRPr="002841A5">
        <w:rPr>
          <w:rFonts w:asciiTheme="majorHAnsi" w:hAnsiTheme="majorHAnsi" w:cstheme="majorHAnsi"/>
          <w:b/>
          <w:bCs/>
          <w:sz w:val="22"/>
          <w:szCs w:val="22"/>
          <w:lang w:val="fr-FR"/>
        </w:rPr>
        <w:t xml:space="preserve"> % de contenu recyclé</w:t>
      </w:r>
      <w:r w:rsidRPr="002617C8">
        <w:rPr>
          <w:rFonts w:asciiTheme="majorHAnsi" w:hAnsiTheme="majorHAnsi" w:cstheme="majorHAnsi"/>
          <w:sz w:val="22"/>
          <w:szCs w:val="22"/>
          <w:lang w:val="fr-FR"/>
        </w:rPr>
        <w:t xml:space="preserve"> dans sa masse surfacique, Allura </w:t>
      </w:r>
      <w:r w:rsidR="003148C3">
        <w:rPr>
          <w:rFonts w:asciiTheme="majorHAnsi" w:hAnsiTheme="majorHAnsi" w:cstheme="majorHAnsi"/>
          <w:sz w:val="22"/>
          <w:szCs w:val="22"/>
          <w:lang w:val="fr-FR"/>
        </w:rPr>
        <w:t xml:space="preserve">flex </w:t>
      </w:r>
      <w:r w:rsidR="00CF4F50">
        <w:rPr>
          <w:rFonts w:asciiTheme="majorHAnsi" w:hAnsiTheme="majorHAnsi" w:cstheme="majorHAnsi"/>
          <w:sz w:val="22"/>
          <w:szCs w:val="22"/>
          <w:lang w:val="fr-FR"/>
        </w:rPr>
        <w:t xml:space="preserve">0.55 </w:t>
      </w:r>
      <w:r w:rsidRPr="002617C8">
        <w:rPr>
          <w:rFonts w:asciiTheme="majorHAnsi" w:hAnsiTheme="majorHAnsi" w:cstheme="majorHAnsi"/>
          <w:sz w:val="22"/>
          <w:szCs w:val="22"/>
          <w:lang w:val="fr-FR"/>
        </w:rPr>
        <w:t xml:space="preserve">est </w:t>
      </w:r>
      <w:r w:rsidRPr="002841A5">
        <w:rPr>
          <w:rFonts w:asciiTheme="majorHAnsi" w:hAnsiTheme="majorHAnsi" w:cstheme="majorHAnsi"/>
          <w:b/>
          <w:bCs/>
          <w:sz w:val="22"/>
          <w:szCs w:val="22"/>
          <w:lang w:val="fr-FR"/>
        </w:rPr>
        <w:t>conforme à la r</w:t>
      </w:r>
      <w:r w:rsidR="002841A5">
        <w:rPr>
          <w:rFonts w:asciiTheme="majorHAnsi" w:hAnsiTheme="majorHAnsi" w:cstheme="majorHAnsi"/>
          <w:b/>
          <w:bCs/>
          <w:sz w:val="22"/>
          <w:szCs w:val="22"/>
          <w:lang w:val="fr-FR"/>
        </w:rPr>
        <w:t>é</w:t>
      </w:r>
      <w:r w:rsidRPr="002841A5">
        <w:rPr>
          <w:rFonts w:asciiTheme="majorHAnsi" w:hAnsiTheme="majorHAnsi" w:cstheme="majorHAnsi"/>
          <w:b/>
          <w:bCs/>
          <w:sz w:val="22"/>
          <w:szCs w:val="22"/>
          <w:lang w:val="fr-FR"/>
        </w:rPr>
        <w:t>glementation REACH</w:t>
      </w:r>
      <w:r w:rsidR="002841A5" w:rsidRPr="002841A5">
        <w:rPr>
          <w:rFonts w:asciiTheme="majorHAnsi" w:hAnsiTheme="majorHAnsi" w:cstheme="majorHAnsi"/>
          <w:b/>
          <w:bCs/>
          <w:sz w:val="22"/>
          <w:szCs w:val="22"/>
          <w:lang w:val="fr-FR"/>
        </w:rPr>
        <w:t xml:space="preserve"> </w:t>
      </w:r>
      <w:r w:rsidR="002841A5" w:rsidRPr="002841A5">
        <w:rPr>
          <w:rFonts w:asciiTheme="majorHAnsi" w:hAnsiTheme="majorHAnsi" w:cstheme="majorHAnsi"/>
          <w:sz w:val="22"/>
          <w:szCs w:val="22"/>
          <w:vertAlign w:val="superscript"/>
          <w:lang w:val="fr-FR"/>
        </w:rPr>
        <w:t>(3)</w:t>
      </w:r>
      <w:r w:rsidRPr="002841A5">
        <w:rPr>
          <w:rFonts w:asciiTheme="majorHAnsi" w:hAnsiTheme="majorHAnsi" w:cstheme="majorHAnsi"/>
          <w:sz w:val="22"/>
          <w:szCs w:val="22"/>
          <w:lang w:val="fr-FR"/>
        </w:rPr>
        <w:t>.</w:t>
      </w:r>
      <w:r w:rsidRPr="002617C8">
        <w:rPr>
          <w:rFonts w:asciiTheme="majorHAnsi" w:hAnsiTheme="majorHAnsi" w:cstheme="majorHAnsi"/>
          <w:sz w:val="22"/>
          <w:szCs w:val="22"/>
          <w:lang w:val="fr-FR"/>
        </w:rPr>
        <w:t xml:space="preserve"> </w:t>
      </w:r>
    </w:p>
    <w:p w14:paraId="779F19E8" w14:textId="4EAA9DA6" w:rsidR="008B69F9" w:rsidRDefault="008B69F9" w:rsidP="00422264">
      <w:pPr>
        <w:pStyle w:val="Compact"/>
        <w:spacing w:before="0" w:after="0"/>
        <w:rPr>
          <w:rFonts w:asciiTheme="majorHAnsi" w:hAnsiTheme="majorHAnsi" w:cstheme="majorHAnsi"/>
          <w:sz w:val="22"/>
          <w:szCs w:val="22"/>
          <w:lang w:val="fr-FR"/>
        </w:rPr>
      </w:pPr>
      <w:r w:rsidRPr="002617C8">
        <w:rPr>
          <w:rFonts w:asciiTheme="majorHAnsi" w:hAnsiTheme="majorHAnsi" w:cstheme="majorHAnsi"/>
          <w:sz w:val="22"/>
          <w:szCs w:val="22"/>
          <w:lang w:val="fr-FR"/>
        </w:rPr>
        <w:t xml:space="preserve">Avec un taux d’émissions </w:t>
      </w:r>
      <w:r w:rsidRPr="002841A5">
        <w:rPr>
          <w:rFonts w:asciiTheme="majorHAnsi" w:hAnsiTheme="majorHAnsi" w:cstheme="majorHAnsi"/>
          <w:b/>
          <w:bCs/>
          <w:sz w:val="22"/>
          <w:szCs w:val="22"/>
          <w:lang w:val="fr-FR"/>
        </w:rPr>
        <w:t>COV à 28 jours &lt; 20 µg/m</w:t>
      </w:r>
      <w:r w:rsidRPr="002841A5">
        <w:rPr>
          <w:rFonts w:asciiTheme="majorHAnsi" w:hAnsiTheme="majorHAnsi" w:cstheme="majorHAnsi"/>
          <w:b/>
          <w:bCs/>
          <w:sz w:val="22"/>
          <w:szCs w:val="22"/>
          <w:vertAlign w:val="superscript"/>
          <w:lang w:val="fr-FR"/>
        </w:rPr>
        <w:t>3</w:t>
      </w:r>
      <w:r w:rsidR="002841A5">
        <w:rPr>
          <w:rFonts w:asciiTheme="majorHAnsi" w:hAnsiTheme="majorHAnsi" w:cstheme="majorHAnsi"/>
          <w:sz w:val="22"/>
          <w:szCs w:val="22"/>
          <w:lang w:val="fr-FR"/>
        </w:rPr>
        <w:t xml:space="preserve"> dans l’air intérieur</w:t>
      </w:r>
      <w:r w:rsidRPr="002617C8">
        <w:rPr>
          <w:rFonts w:asciiTheme="majorHAnsi" w:hAnsiTheme="majorHAnsi" w:cstheme="majorHAnsi"/>
          <w:sz w:val="22"/>
          <w:szCs w:val="22"/>
          <w:lang w:val="fr-FR"/>
        </w:rPr>
        <w:t xml:space="preserve">, il est </w:t>
      </w:r>
      <w:r w:rsidRPr="002841A5">
        <w:rPr>
          <w:rFonts w:asciiTheme="majorHAnsi" w:hAnsiTheme="majorHAnsi" w:cstheme="majorHAnsi"/>
          <w:b/>
          <w:bCs/>
          <w:sz w:val="22"/>
          <w:szCs w:val="22"/>
          <w:lang w:val="fr-FR"/>
        </w:rPr>
        <w:t>classé A+</w:t>
      </w:r>
      <w:r w:rsidRPr="002617C8">
        <w:rPr>
          <w:rFonts w:asciiTheme="majorHAnsi" w:hAnsiTheme="majorHAnsi" w:cstheme="majorHAnsi"/>
          <w:sz w:val="22"/>
          <w:szCs w:val="22"/>
          <w:lang w:val="fr-FR"/>
        </w:rPr>
        <w:t>.</w:t>
      </w:r>
      <w:bookmarkStart w:id="1" w:name="_Hlk111042738"/>
      <w:r w:rsidR="00422264">
        <w:rPr>
          <w:rFonts w:asciiTheme="majorHAnsi" w:hAnsiTheme="majorHAnsi" w:cstheme="majorHAnsi"/>
          <w:sz w:val="22"/>
          <w:szCs w:val="22"/>
          <w:lang w:val="fr-FR"/>
        </w:rPr>
        <w:t xml:space="preserve"> </w:t>
      </w:r>
    </w:p>
    <w:p w14:paraId="2DB1CD59" w14:textId="77777777" w:rsidR="008B69F9" w:rsidRPr="002617C8" w:rsidRDefault="008B69F9" w:rsidP="00422264">
      <w:pPr>
        <w:pStyle w:val="FirstParagraph"/>
        <w:spacing w:before="0" w:after="0"/>
        <w:rPr>
          <w:rFonts w:asciiTheme="majorHAnsi" w:hAnsiTheme="majorHAnsi" w:cstheme="majorHAnsi"/>
          <w:sz w:val="22"/>
          <w:szCs w:val="22"/>
          <w:lang w:val="fr-FR"/>
        </w:rPr>
      </w:pPr>
      <w:r w:rsidRPr="002617C8">
        <w:rPr>
          <w:rFonts w:asciiTheme="majorHAnsi" w:hAnsiTheme="majorHAnsi" w:cstheme="majorHAnsi"/>
          <w:sz w:val="22"/>
          <w:szCs w:val="22"/>
          <w:lang w:val="fr-FR"/>
        </w:rPr>
        <w:t>Il disposera d’une protection de surface de type polyuréthane (PUR) qui le protégera des rayures et des taches dans le temps, facilitera son entretien et lui évitera l’application d’une métallisation pendant toute sa durée de vie.</w:t>
      </w:r>
    </w:p>
    <w:bookmarkEnd w:id="1"/>
    <w:p w14:paraId="72DA110D" w14:textId="25323DA2" w:rsidR="004F23B2" w:rsidRPr="005D2DB4" w:rsidRDefault="004F23B2" w:rsidP="004F23B2">
      <w:pPr>
        <w:pStyle w:val="Compact"/>
        <w:spacing w:before="0" w:after="0"/>
        <w:rPr>
          <w:rFonts w:asciiTheme="majorHAnsi" w:hAnsiTheme="majorHAnsi" w:cstheme="majorHAnsi"/>
          <w:sz w:val="22"/>
          <w:szCs w:val="22"/>
          <w:lang w:val="fr-FR"/>
        </w:rPr>
      </w:pPr>
      <w:r w:rsidRPr="005D2DB4">
        <w:rPr>
          <w:rFonts w:asciiTheme="majorHAnsi" w:hAnsiTheme="majorHAnsi" w:cstheme="majorHAnsi"/>
          <w:sz w:val="22"/>
          <w:szCs w:val="22"/>
          <w:lang w:val="fr-FR"/>
        </w:rPr>
        <w:t xml:space="preserve">Il bénéficiera d’une </w:t>
      </w:r>
      <w:r w:rsidRPr="002841A5">
        <w:rPr>
          <w:rFonts w:asciiTheme="majorHAnsi" w:hAnsiTheme="majorHAnsi" w:cstheme="majorHAnsi"/>
          <w:b/>
          <w:bCs/>
          <w:sz w:val="22"/>
          <w:szCs w:val="22"/>
          <w:lang w:val="fr-FR"/>
        </w:rPr>
        <w:t>garantie de 7 ans</w:t>
      </w:r>
      <w:r w:rsidRPr="005D2DB4">
        <w:rPr>
          <w:rFonts w:asciiTheme="majorHAnsi" w:hAnsiTheme="majorHAnsi" w:cstheme="majorHAnsi"/>
          <w:sz w:val="22"/>
          <w:szCs w:val="22"/>
          <w:lang w:val="fr-FR"/>
        </w:rPr>
        <w:t xml:space="preserve"> et pourra obtenir </w:t>
      </w:r>
      <w:r w:rsidRPr="002841A5">
        <w:rPr>
          <w:rFonts w:asciiTheme="majorHAnsi" w:hAnsiTheme="majorHAnsi" w:cstheme="majorHAnsi"/>
          <w:b/>
          <w:bCs/>
          <w:sz w:val="22"/>
          <w:szCs w:val="22"/>
          <w:lang w:val="fr-FR"/>
        </w:rPr>
        <w:t>une extension jusqu'à 6 ans supplémentaires</w:t>
      </w:r>
      <w:r w:rsidRPr="005D2DB4">
        <w:rPr>
          <w:rFonts w:asciiTheme="majorHAnsi" w:hAnsiTheme="majorHAnsi" w:cstheme="majorHAnsi"/>
          <w:sz w:val="22"/>
          <w:szCs w:val="22"/>
          <w:lang w:val="fr-FR"/>
        </w:rPr>
        <w:t xml:space="preserve"> (suivant conditions de mise en œuvre des tapis de propreté Coral ou Nuway du fabricant</w:t>
      </w:r>
      <w:r w:rsidR="002841A5">
        <w:rPr>
          <w:rFonts w:asciiTheme="majorHAnsi" w:hAnsiTheme="majorHAnsi" w:cstheme="majorHAnsi"/>
          <w:sz w:val="22"/>
          <w:szCs w:val="22"/>
          <w:lang w:val="fr-FR"/>
        </w:rPr>
        <w:t xml:space="preserve"> </w:t>
      </w:r>
      <w:r w:rsidR="002841A5" w:rsidRPr="002841A5">
        <w:rPr>
          <w:rFonts w:asciiTheme="majorHAnsi" w:hAnsiTheme="majorHAnsi" w:cstheme="majorHAnsi"/>
          <w:sz w:val="22"/>
          <w:szCs w:val="22"/>
          <w:vertAlign w:val="superscript"/>
          <w:lang w:val="fr-FR"/>
        </w:rPr>
        <w:t>(1)</w:t>
      </w:r>
      <w:r w:rsidRPr="005D2DB4">
        <w:rPr>
          <w:rFonts w:asciiTheme="majorHAnsi" w:hAnsiTheme="majorHAnsi" w:cstheme="majorHAnsi"/>
          <w:sz w:val="22"/>
          <w:szCs w:val="22"/>
          <w:lang w:val="fr-FR"/>
        </w:rPr>
        <w:t>).</w:t>
      </w:r>
    </w:p>
    <w:p w14:paraId="32CD0C98" w14:textId="5ABFEA2A" w:rsidR="004F23B2" w:rsidRPr="005D2DB4" w:rsidRDefault="004F23B2" w:rsidP="004F23B2">
      <w:pPr>
        <w:pStyle w:val="Compact"/>
        <w:spacing w:before="0" w:after="0"/>
        <w:rPr>
          <w:rFonts w:asciiTheme="majorHAnsi" w:hAnsiTheme="majorHAnsi" w:cstheme="majorHAnsi"/>
          <w:sz w:val="22"/>
          <w:szCs w:val="22"/>
          <w:lang w:val="fr-FR"/>
        </w:rPr>
      </w:pPr>
      <w:r w:rsidRPr="00AA59FF">
        <w:rPr>
          <w:rFonts w:asciiTheme="majorHAnsi" w:hAnsiTheme="majorHAnsi" w:cstheme="majorHAnsi"/>
          <w:sz w:val="22"/>
          <w:szCs w:val="22"/>
          <w:lang w:val="fr-FR"/>
        </w:rPr>
        <w:t>Nos revêtements de sol (chutes</w:t>
      </w:r>
      <w:r w:rsidR="005B3B5F">
        <w:rPr>
          <w:rFonts w:asciiTheme="majorHAnsi" w:hAnsiTheme="majorHAnsi" w:cstheme="majorHAnsi"/>
          <w:sz w:val="22"/>
          <w:szCs w:val="22"/>
          <w:lang w:val="fr-FR"/>
        </w:rPr>
        <w:t xml:space="preserve"> de pose</w:t>
      </w:r>
      <w:r w:rsidRPr="00AA59FF">
        <w:rPr>
          <w:rFonts w:asciiTheme="majorHAnsi" w:hAnsiTheme="majorHAnsi" w:cstheme="majorHAnsi"/>
          <w:sz w:val="22"/>
          <w:szCs w:val="22"/>
          <w:lang w:val="fr-FR"/>
        </w:rPr>
        <w:t xml:space="preserve"> et déposes) sont </w:t>
      </w:r>
      <w:r w:rsidRPr="002841A5">
        <w:rPr>
          <w:rFonts w:asciiTheme="majorHAnsi" w:hAnsiTheme="majorHAnsi" w:cstheme="majorHAnsi"/>
          <w:b/>
          <w:bCs/>
          <w:sz w:val="22"/>
          <w:szCs w:val="22"/>
          <w:lang w:val="fr-FR"/>
        </w:rPr>
        <w:t>recyclables</w:t>
      </w:r>
      <w:r w:rsidRPr="00AA59FF">
        <w:rPr>
          <w:rFonts w:asciiTheme="majorHAnsi" w:hAnsiTheme="majorHAnsi" w:cstheme="majorHAnsi"/>
          <w:sz w:val="22"/>
          <w:szCs w:val="22"/>
          <w:lang w:val="fr-FR"/>
        </w:rPr>
        <w:t xml:space="preserve"> via notre programme </w:t>
      </w:r>
      <w:r w:rsidRPr="002841A5">
        <w:rPr>
          <w:rFonts w:asciiTheme="majorHAnsi" w:hAnsiTheme="majorHAnsi" w:cstheme="majorHAnsi"/>
          <w:b/>
          <w:bCs/>
          <w:sz w:val="22"/>
          <w:szCs w:val="22"/>
          <w:lang w:val="fr-FR"/>
        </w:rPr>
        <w:t>Tournesol</w:t>
      </w:r>
      <w:r>
        <w:rPr>
          <w:rFonts w:asciiTheme="majorHAnsi" w:hAnsiTheme="majorHAnsi" w:cstheme="majorHAnsi"/>
          <w:sz w:val="22"/>
          <w:szCs w:val="22"/>
          <w:lang w:val="fr-FR"/>
        </w:rPr>
        <w:t xml:space="preserve"> </w:t>
      </w:r>
      <w:r w:rsidRPr="00BB2950">
        <w:rPr>
          <w:rFonts w:asciiTheme="majorHAnsi" w:hAnsiTheme="majorHAnsi" w:cstheme="majorHAnsi"/>
          <w:sz w:val="22"/>
          <w:szCs w:val="22"/>
          <w:vertAlign w:val="superscript"/>
          <w:lang w:val="fr-FR"/>
        </w:rPr>
        <w:t>(</w:t>
      </w:r>
      <w:r w:rsidR="00CE3CBB">
        <w:rPr>
          <w:rFonts w:asciiTheme="majorHAnsi" w:hAnsiTheme="majorHAnsi" w:cstheme="majorHAnsi"/>
          <w:sz w:val="22"/>
          <w:szCs w:val="22"/>
          <w:vertAlign w:val="superscript"/>
          <w:lang w:val="fr-FR"/>
        </w:rPr>
        <w:t>2</w:t>
      </w:r>
      <w:r w:rsidRPr="00BB2950">
        <w:rPr>
          <w:rFonts w:asciiTheme="majorHAnsi" w:hAnsiTheme="majorHAnsi" w:cstheme="majorHAnsi"/>
          <w:sz w:val="22"/>
          <w:szCs w:val="22"/>
          <w:vertAlign w:val="superscript"/>
          <w:lang w:val="fr-FR"/>
        </w:rPr>
        <w:t>)</w:t>
      </w:r>
      <w:r>
        <w:rPr>
          <w:rFonts w:asciiTheme="majorHAnsi" w:hAnsiTheme="majorHAnsi" w:cstheme="majorHAnsi"/>
          <w:sz w:val="22"/>
          <w:szCs w:val="22"/>
          <w:lang w:val="fr-FR"/>
        </w:rPr>
        <w:t>.</w:t>
      </w:r>
    </w:p>
    <w:p w14:paraId="7F68FA35" w14:textId="77777777" w:rsidR="004F23B2" w:rsidRPr="00422264" w:rsidRDefault="004F23B2" w:rsidP="004F23B2">
      <w:pPr>
        <w:pStyle w:val="Corpsdetexte"/>
        <w:spacing w:before="0" w:after="0"/>
        <w:rPr>
          <w:rFonts w:asciiTheme="majorHAnsi" w:hAnsiTheme="majorHAnsi" w:cstheme="majorHAnsi"/>
          <w:b/>
          <w:lang w:val="fr-FR"/>
        </w:rPr>
      </w:pPr>
    </w:p>
    <w:p w14:paraId="7953BF08" w14:textId="77777777" w:rsidR="004F23B2" w:rsidRDefault="004F23B2" w:rsidP="004F23B2">
      <w:pPr>
        <w:pStyle w:val="Corpsdetexte"/>
        <w:spacing w:before="0" w:after="0"/>
        <w:rPr>
          <w:rFonts w:asciiTheme="majorHAnsi" w:hAnsiTheme="majorHAnsi" w:cstheme="majorHAnsi"/>
          <w:b/>
          <w:sz w:val="28"/>
          <w:szCs w:val="28"/>
          <w:lang w:val="fr-FR"/>
        </w:rPr>
      </w:pPr>
      <w:r w:rsidRPr="00453B3D">
        <w:rPr>
          <w:rFonts w:asciiTheme="majorHAnsi" w:hAnsiTheme="majorHAnsi" w:cstheme="majorHAnsi"/>
          <w:b/>
          <w:sz w:val="28"/>
          <w:szCs w:val="28"/>
          <w:lang w:val="fr-FR"/>
        </w:rPr>
        <w:t>Mode de pose &amp; entretien</w:t>
      </w:r>
    </w:p>
    <w:p w14:paraId="1CD498CF" w14:textId="77777777" w:rsidR="004F23B2" w:rsidRPr="00422264" w:rsidRDefault="004F23B2" w:rsidP="004F23B2">
      <w:pPr>
        <w:pStyle w:val="Corpsdetexte"/>
        <w:spacing w:before="0" w:after="0"/>
        <w:rPr>
          <w:rFonts w:asciiTheme="majorHAnsi" w:hAnsiTheme="majorHAnsi" w:cstheme="majorHAnsi"/>
          <w:b/>
          <w:lang w:val="fr-FR"/>
        </w:rPr>
      </w:pPr>
    </w:p>
    <w:p w14:paraId="22F6FD44" w14:textId="77777777" w:rsidR="004F23B2" w:rsidRPr="00323338" w:rsidRDefault="004F23B2" w:rsidP="004F23B2">
      <w:pPr>
        <w:pStyle w:val="Corpsdetexte"/>
        <w:spacing w:before="0" w:after="0"/>
        <w:rPr>
          <w:rFonts w:asciiTheme="majorHAnsi" w:hAnsiTheme="majorHAnsi" w:cstheme="majorHAnsi"/>
          <w:b/>
          <w:lang w:val="fr-FR"/>
        </w:rPr>
      </w:pPr>
      <w:r w:rsidRPr="00323338">
        <w:rPr>
          <w:rFonts w:asciiTheme="majorHAnsi" w:hAnsiTheme="majorHAnsi" w:cstheme="majorHAnsi"/>
          <w:b/>
          <w:lang w:val="fr-FR"/>
        </w:rPr>
        <w:t>Pose maintenue :</w:t>
      </w:r>
    </w:p>
    <w:p w14:paraId="785ED8CA" w14:textId="77777777" w:rsidR="004F23B2" w:rsidRDefault="004F23B2" w:rsidP="004F23B2">
      <w:pPr>
        <w:pStyle w:val="Corpsdetexte"/>
        <w:spacing w:before="0" w:after="0"/>
        <w:rPr>
          <w:rFonts w:asciiTheme="majorHAnsi" w:hAnsiTheme="majorHAnsi" w:cstheme="majorHAnsi"/>
          <w:bCs/>
          <w:lang w:val="fr-FR"/>
        </w:rPr>
      </w:pPr>
    </w:p>
    <w:p w14:paraId="69AFBB56" w14:textId="17FEA241" w:rsidR="004F23B2" w:rsidRDefault="004F23B2" w:rsidP="004F23B2">
      <w:pPr>
        <w:pStyle w:val="Corpsdetexte"/>
        <w:spacing w:before="0" w:after="0"/>
        <w:rPr>
          <w:rFonts w:asciiTheme="majorHAnsi" w:hAnsiTheme="majorHAnsi" w:cstheme="majorHAnsi"/>
          <w:b/>
          <w:lang w:val="fr-FR"/>
        </w:rPr>
      </w:pPr>
      <w:r w:rsidRPr="008B69F9">
        <w:rPr>
          <w:rFonts w:asciiTheme="majorHAnsi" w:hAnsiTheme="majorHAnsi" w:cstheme="majorHAnsi"/>
          <w:bCs/>
          <w:sz w:val="22"/>
          <w:szCs w:val="22"/>
          <w:lang w:val="fr-FR"/>
        </w:rPr>
        <w:t>Mise en œuvre et type de fixateur (type 542 eurofix tack plus ou équivalent) suivant préconisations du fabricant et dans le respect du NF DTU 53.12 et de l’Avis Technique du CSTB :</w:t>
      </w:r>
      <w:r w:rsidRPr="008B69F9">
        <w:rPr>
          <w:rFonts w:asciiTheme="majorHAnsi" w:hAnsiTheme="majorHAnsi" w:cstheme="majorHAnsi"/>
          <w:sz w:val="22"/>
          <w:szCs w:val="22"/>
          <w:lang w:val="fr-FR"/>
        </w:rPr>
        <w:t xml:space="preserve"> n°12/</w:t>
      </w:r>
      <w:r w:rsidR="009D4CC0">
        <w:rPr>
          <w:rFonts w:asciiTheme="majorHAnsi" w:hAnsiTheme="majorHAnsi" w:cstheme="majorHAnsi"/>
          <w:sz w:val="22"/>
          <w:szCs w:val="22"/>
          <w:lang w:val="fr-FR"/>
        </w:rPr>
        <w:t>22-1816</w:t>
      </w:r>
      <w:r w:rsidRPr="008B69F9">
        <w:rPr>
          <w:rFonts w:asciiTheme="majorHAnsi" w:hAnsiTheme="majorHAnsi" w:cstheme="majorHAnsi"/>
          <w:sz w:val="22"/>
          <w:szCs w:val="22"/>
          <w:lang w:val="fr-FR"/>
        </w:rPr>
        <w:t>_V</w:t>
      </w:r>
      <w:r>
        <w:rPr>
          <w:rFonts w:asciiTheme="majorHAnsi" w:hAnsiTheme="majorHAnsi" w:cstheme="majorHAnsi"/>
          <w:sz w:val="22"/>
          <w:szCs w:val="22"/>
          <w:lang w:val="fr-FR"/>
        </w:rPr>
        <w:t>2</w:t>
      </w:r>
      <w:r w:rsidRPr="008B69F9">
        <w:rPr>
          <w:rFonts w:asciiTheme="majorHAnsi" w:hAnsiTheme="majorHAnsi" w:cstheme="majorHAnsi"/>
          <w:sz w:val="22"/>
          <w:szCs w:val="22"/>
          <w:lang w:val="fr-FR"/>
        </w:rPr>
        <w:t>. En fonction de la classification UPEC des locaux du CSTB et de la nature du support l’entreprise devra utiliser les méthodologies de mise en œuvre qu’implique le classement E.E1 ou E2 : pose à joints vifs. Dans le cas d’une pose sur terre-plein, l’entreprise prendra les dispositions nécessaires de préparation de support pour réaliser une barrière anti-humidité selon les prescriptions du NF DTU 53.12. L’entreprise installera les compléments de finition utiles disponibles auprès du fabricant : plinthes, plinthes complètes ou plinthes décoratives PVC.</w:t>
      </w:r>
      <w:r w:rsidRPr="00453B3D">
        <w:rPr>
          <w:rFonts w:asciiTheme="majorHAnsi" w:hAnsiTheme="majorHAnsi" w:cstheme="majorHAnsi"/>
          <w:lang w:val="fr-FR"/>
        </w:rPr>
        <w:br/>
      </w:r>
      <w:r w:rsidRPr="00453B3D">
        <w:rPr>
          <w:rFonts w:asciiTheme="majorHAnsi" w:hAnsiTheme="majorHAnsi" w:cstheme="majorHAnsi"/>
          <w:lang w:val="fr-FR"/>
        </w:rPr>
        <w:br/>
      </w:r>
      <w:r>
        <w:rPr>
          <w:rFonts w:asciiTheme="majorHAnsi" w:hAnsiTheme="majorHAnsi" w:cstheme="majorHAnsi"/>
          <w:b/>
          <w:lang w:val="fr-FR"/>
        </w:rPr>
        <w:t>Nettoyage et e</w:t>
      </w:r>
      <w:r w:rsidRPr="00453B3D">
        <w:rPr>
          <w:rFonts w:asciiTheme="majorHAnsi" w:hAnsiTheme="majorHAnsi" w:cstheme="majorHAnsi"/>
          <w:b/>
          <w:lang w:val="fr-FR"/>
        </w:rPr>
        <w:t>ntretien</w:t>
      </w:r>
      <w:r>
        <w:rPr>
          <w:rFonts w:asciiTheme="majorHAnsi" w:hAnsiTheme="majorHAnsi" w:cstheme="majorHAnsi"/>
          <w:b/>
          <w:lang w:val="fr-FR"/>
        </w:rPr>
        <w:t> :</w:t>
      </w:r>
    </w:p>
    <w:p w14:paraId="15B2B91F" w14:textId="7D71F5F8" w:rsidR="004F23B2" w:rsidRPr="008B69F9" w:rsidRDefault="004F23B2" w:rsidP="004F23B2">
      <w:pPr>
        <w:pStyle w:val="Corpsdetexte"/>
        <w:spacing w:before="0" w:after="0"/>
        <w:rPr>
          <w:rFonts w:asciiTheme="majorHAnsi" w:hAnsiTheme="majorHAnsi" w:cstheme="majorHAnsi"/>
          <w:i/>
          <w:sz w:val="20"/>
          <w:szCs w:val="20"/>
          <w:lang w:val="fr-FR"/>
        </w:rPr>
      </w:pPr>
      <w:r w:rsidRPr="00453B3D">
        <w:rPr>
          <w:rFonts w:asciiTheme="majorHAnsi" w:hAnsiTheme="majorHAnsi" w:cstheme="majorHAnsi"/>
          <w:lang w:val="fr-FR"/>
        </w:rPr>
        <w:br/>
      </w:r>
      <w:r w:rsidRPr="008B69F9">
        <w:rPr>
          <w:rFonts w:asciiTheme="majorHAnsi" w:hAnsiTheme="majorHAnsi" w:cstheme="majorHAnsi"/>
          <w:sz w:val="22"/>
          <w:szCs w:val="22"/>
          <w:lang w:val="fr-FR"/>
        </w:rPr>
        <w:t>L’entreprise en charge du nettoyage des revêtements devra impérativement respecter les protocoles d’entretien du fabricant.  La notice d’entretien devra être transmise par le présent lot revêtement de sol ou par le fabricant.</w:t>
      </w:r>
      <w:r w:rsidRPr="00453B3D">
        <w:rPr>
          <w:rFonts w:asciiTheme="majorHAnsi" w:hAnsiTheme="majorHAnsi" w:cstheme="majorHAnsi"/>
          <w:lang w:val="fr-FR"/>
        </w:rPr>
        <w:br/>
      </w:r>
    </w:p>
    <w:p w14:paraId="04749CCD" w14:textId="0EFB9D10" w:rsidR="004F23B2" w:rsidRPr="008B69F9" w:rsidRDefault="004F23B2" w:rsidP="004F23B2">
      <w:pPr>
        <w:pStyle w:val="Corpsdetexte"/>
        <w:spacing w:before="0" w:after="0"/>
        <w:rPr>
          <w:rFonts w:asciiTheme="majorHAnsi" w:hAnsiTheme="majorHAnsi" w:cstheme="majorHAnsi"/>
          <w:i/>
          <w:sz w:val="20"/>
          <w:szCs w:val="20"/>
          <w:lang w:val="fr-FR"/>
        </w:rPr>
      </w:pPr>
      <w:r w:rsidRPr="008B69F9">
        <w:rPr>
          <w:rFonts w:asciiTheme="majorHAnsi" w:hAnsiTheme="majorHAnsi" w:cstheme="majorHAnsi"/>
          <w:i/>
          <w:sz w:val="20"/>
          <w:szCs w:val="20"/>
          <w:lang w:val="fr-FR"/>
        </w:rPr>
        <w:t>(</w:t>
      </w:r>
      <w:r w:rsidR="00CE3CBB">
        <w:rPr>
          <w:rFonts w:asciiTheme="majorHAnsi" w:hAnsiTheme="majorHAnsi" w:cstheme="majorHAnsi"/>
          <w:i/>
          <w:sz w:val="20"/>
          <w:szCs w:val="20"/>
          <w:lang w:val="fr-FR"/>
        </w:rPr>
        <w:t>1</w:t>
      </w:r>
      <w:r w:rsidRPr="008B69F9">
        <w:rPr>
          <w:rFonts w:asciiTheme="majorHAnsi" w:hAnsiTheme="majorHAnsi" w:cstheme="majorHAnsi"/>
          <w:i/>
          <w:sz w:val="20"/>
          <w:szCs w:val="20"/>
          <w:lang w:val="fr-FR"/>
        </w:rPr>
        <w:t xml:space="preserve">) </w:t>
      </w:r>
      <w:r w:rsidR="00AB4FBB">
        <w:rPr>
          <w:rFonts w:asciiTheme="majorHAnsi" w:hAnsiTheme="majorHAnsi" w:cstheme="majorHAnsi"/>
          <w:i/>
          <w:sz w:val="20"/>
          <w:szCs w:val="20"/>
          <w:lang w:val="fr-FR"/>
        </w:rPr>
        <w:t xml:space="preserve">L'extension de garantie peut s'appliquer à partir du 2e ML de Tapis de Propreté Coral ou de la mise en place d'un système Nuway selon trafic (voir conditions sur </w:t>
      </w:r>
      <w:hyperlink r:id="rId7" w:history="1">
        <w:r w:rsidR="00AB4FBB">
          <w:rPr>
            <w:rStyle w:val="Lienhypertexte"/>
            <w:rFonts w:asciiTheme="majorHAnsi" w:hAnsiTheme="majorHAnsi" w:cstheme="majorHAnsi"/>
            <w:i/>
            <w:sz w:val="20"/>
            <w:szCs w:val="20"/>
            <w:u w:val="single"/>
            <w:lang w:val="fr-FR"/>
          </w:rPr>
          <w:t>www.forbo-flooring.fr</w:t>
        </w:r>
      </w:hyperlink>
      <w:r w:rsidR="00AB4FBB">
        <w:rPr>
          <w:rFonts w:asciiTheme="majorHAnsi" w:hAnsiTheme="majorHAnsi" w:cstheme="majorHAnsi"/>
          <w:i/>
          <w:sz w:val="20"/>
          <w:szCs w:val="20"/>
          <w:lang w:val="fr-FR"/>
        </w:rPr>
        <w:t>).</w:t>
      </w:r>
    </w:p>
    <w:p w14:paraId="411A812C" w14:textId="0C48C4E2" w:rsidR="004F23B2" w:rsidRDefault="004F23B2" w:rsidP="004F23B2">
      <w:pPr>
        <w:pStyle w:val="Compact"/>
        <w:spacing w:before="0" w:after="0"/>
        <w:rPr>
          <w:rFonts w:asciiTheme="majorHAnsi" w:hAnsiTheme="majorHAnsi" w:cstheme="majorHAnsi"/>
          <w:i/>
          <w:sz w:val="20"/>
          <w:szCs w:val="20"/>
          <w:lang w:val="fr-FR"/>
        </w:rPr>
      </w:pPr>
      <w:r w:rsidRPr="008B69F9">
        <w:rPr>
          <w:rFonts w:asciiTheme="majorHAnsi" w:hAnsiTheme="majorHAnsi" w:cstheme="majorHAnsi"/>
          <w:i/>
          <w:sz w:val="20"/>
          <w:szCs w:val="20"/>
          <w:lang w:val="fr-FR"/>
        </w:rPr>
        <w:t>(</w:t>
      </w:r>
      <w:r w:rsidR="00CE3CBB">
        <w:rPr>
          <w:rFonts w:asciiTheme="majorHAnsi" w:hAnsiTheme="majorHAnsi" w:cstheme="majorHAnsi"/>
          <w:i/>
          <w:sz w:val="20"/>
          <w:szCs w:val="20"/>
          <w:lang w:val="fr-FR"/>
        </w:rPr>
        <w:t>2</w:t>
      </w:r>
      <w:r w:rsidRPr="008B69F9">
        <w:rPr>
          <w:rFonts w:asciiTheme="majorHAnsi" w:hAnsiTheme="majorHAnsi" w:cstheme="majorHAnsi"/>
          <w:i/>
          <w:sz w:val="20"/>
          <w:szCs w:val="20"/>
          <w:lang w:val="fr-FR"/>
        </w:rPr>
        <w:t>)</w:t>
      </w:r>
      <w:r w:rsidRPr="002617C8">
        <w:rPr>
          <w:rFonts w:asciiTheme="majorHAnsi" w:hAnsiTheme="majorHAnsi" w:cstheme="majorHAnsi"/>
          <w:i/>
          <w:sz w:val="20"/>
          <w:szCs w:val="20"/>
          <w:lang w:val="fr-FR"/>
        </w:rPr>
        <w:t xml:space="preserve"> </w:t>
      </w:r>
      <w:r w:rsidR="005B3B5F">
        <w:rPr>
          <w:rFonts w:asciiTheme="majorHAnsi" w:hAnsiTheme="majorHAnsi" w:cstheme="majorHAnsi"/>
          <w:i/>
          <w:sz w:val="20"/>
          <w:szCs w:val="20"/>
          <w:lang w:val="fr-FR"/>
        </w:rPr>
        <w:t>Linoleum et PVC - Selon cahier des charges et hors cadre amiante</w:t>
      </w:r>
      <w:r w:rsidR="006F19A7">
        <w:rPr>
          <w:rFonts w:asciiTheme="majorHAnsi" w:hAnsiTheme="majorHAnsi" w:cstheme="majorHAnsi"/>
          <w:i/>
          <w:sz w:val="20"/>
          <w:szCs w:val="20"/>
          <w:lang w:val="fr-FR"/>
        </w:rPr>
        <w:t>.</w:t>
      </w:r>
    </w:p>
    <w:p w14:paraId="5EB5CC18" w14:textId="17F62395" w:rsidR="00AB4FBB" w:rsidRPr="00422264" w:rsidRDefault="00AB4FBB" w:rsidP="004F23B2">
      <w:pPr>
        <w:pStyle w:val="Compact"/>
        <w:spacing w:before="0" w:after="0"/>
        <w:rPr>
          <w:rFonts w:asciiTheme="majorHAnsi" w:hAnsiTheme="majorHAnsi" w:cstheme="majorHAnsi"/>
          <w:sz w:val="20"/>
          <w:szCs w:val="20"/>
          <w:lang w:val="fr-FR"/>
        </w:rPr>
      </w:pPr>
      <w:r>
        <w:rPr>
          <w:rFonts w:asciiTheme="majorHAnsi" w:hAnsiTheme="majorHAnsi" w:cstheme="majorHAnsi"/>
          <w:i/>
          <w:sz w:val="20"/>
          <w:szCs w:val="20"/>
          <w:lang w:val="fr-FR"/>
        </w:rPr>
        <w:t>(3) Les articles (produits) ne contiennent pas de substances de la liste candidate en vigueur publiée par l'ECHA (substances très préoccupantes) à déclarer dans le cadre du règlement REACH.</w:t>
      </w:r>
    </w:p>
    <w:sectPr w:rsidR="00AB4FBB" w:rsidRPr="00422264">
      <w:foot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33EE" w14:textId="77777777" w:rsidR="00980658" w:rsidRDefault="00980658">
      <w:pPr>
        <w:spacing w:after="0"/>
      </w:pPr>
      <w:r>
        <w:separator/>
      </w:r>
    </w:p>
  </w:endnote>
  <w:endnote w:type="continuationSeparator" w:id="0">
    <w:p w14:paraId="6CAE93D9" w14:textId="77777777" w:rsidR="00980658" w:rsidRDefault="00980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BC65" w14:textId="6512AB1A" w:rsidR="006F19A7" w:rsidRDefault="006F19A7" w:rsidP="006F19A7">
    <w:pPr>
      <w:pStyle w:val="Pieddepage"/>
      <w:jc w:val="right"/>
    </w:pPr>
    <w:r>
      <w:rPr>
        <w:noProof/>
      </w:rPr>
      <w:drawing>
        <wp:anchor distT="0" distB="0" distL="114300" distR="114300" simplePos="0" relativeHeight="251659264" behindDoc="0" locked="0" layoutInCell="1" allowOverlap="1" wp14:anchorId="44ACB269" wp14:editId="5A8D4E4B">
          <wp:simplePos x="0" y="0"/>
          <wp:positionH relativeFrom="margin">
            <wp:align>left</wp:align>
          </wp:positionH>
          <wp:positionV relativeFrom="paragraph">
            <wp:posOffset>253365</wp:posOffset>
          </wp:positionV>
          <wp:extent cx="1393190" cy="825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190" cy="82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CF7C40F" wp14:editId="797F9A1C">
          <wp:extent cx="892810" cy="38100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281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C7B7" w14:textId="77777777" w:rsidR="00980658" w:rsidRDefault="00980658">
      <w:r>
        <w:separator/>
      </w:r>
    </w:p>
  </w:footnote>
  <w:footnote w:type="continuationSeparator" w:id="0">
    <w:p w14:paraId="0E913A62" w14:textId="77777777" w:rsidR="00980658" w:rsidRDefault="00980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73F26E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08DBB3A"/>
    <w:multiLevelType w:val="multilevel"/>
    <w:tmpl w:val="0CBAA1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B722C8F"/>
    <w:multiLevelType w:val="multilevel"/>
    <w:tmpl w:val="F30E114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0E05"/>
    <w:rsid w:val="00100992"/>
    <w:rsid w:val="002841A5"/>
    <w:rsid w:val="003148C3"/>
    <w:rsid w:val="00323338"/>
    <w:rsid w:val="00422264"/>
    <w:rsid w:val="004E29B3"/>
    <w:rsid w:val="004F23B2"/>
    <w:rsid w:val="00590D07"/>
    <w:rsid w:val="005B3B5F"/>
    <w:rsid w:val="006F19A7"/>
    <w:rsid w:val="00704CF2"/>
    <w:rsid w:val="00784D58"/>
    <w:rsid w:val="00886EC5"/>
    <w:rsid w:val="008B69F9"/>
    <w:rsid w:val="008D6863"/>
    <w:rsid w:val="00980658"/>
    <w:rsid w:val="009D4CC0"/>
    <w:rsid w:val="00AB4FBB"/>
    <w:rsid w:val="00B86B75"/>
    <w:rsid w:val="00BC48D5"/>
    <w:rsid w:val="00C36279"/>
    <w:rsid w:val="00C9070D"/>
    <w:rsid w:val="00CE3CBB"/>
    <w:rsid w:val="00CF4F50"/>
    <w:rsid w:val="00E315A3"/>
    <w:rsid w:val="00E959E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DD38"/>
  <w15:docId w15:val="{2BEF579C-F2F1-44A8-B724-6A05CBD7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En-tte">
    <w:name w:val="header"/>
    <w:basedOn w:val="Normal"/>
    <w:link w:val="En-tteCar"/>
    <w:unhideWhenUsed/>
    <w:rsid w:val="006F19A7"/>
    <w:pPr>
      <w:tabs>
        <w:tab w:val="center" w:pos="4536"/>
        <w:tab w:val="right" w:pos="9072"/>
      </w:tabs>
      <w:spacing w:after="0"/>
    </w:pPr>
  </w:style>
  <w:style w:type="character" w:customStyle="1" w:styleId="En-tteCar">
    <w:name w:val="En-tête Car"/>
    <w:basedOn w:val="Policepardfaut"/>
    <w:link w:val="En-tte"/>
    <w:rsid w:val="006F19A7"/>
  </w:style>
  <w:style w:type="paragraph" w:styleId="Pieddepage">
    <w:name w:val="footer"/>
    <w:basedOn w:val="Normal"/>
    <w:link w:val="PieddepageCar"/>
    <w:unhideWhenUsed/>
    <w:rsid w:val="006F19A7"/>
    <w:pPr>
      <w:tabs>
        <w:tab w:val="center" w:pos="4536"/>
        <w:tab w:val="right" w:pos="9072"/>
      </w:tabs>
      <w:spacing w:after="0"/>
    </w:pPr>
  </w:style>
  <w:style w:type="character" w:customStyle="1" w:styleId="PieddepageCar">
    <w:name w:val="Pied de page Car"/>
    <w:basedOn w:val="Policepardfaut"/>
    <w:link w:val="Pieddepage"/>
    <w:rsid w:val="006F1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2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rbo-floori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Balle-Coureau Beatrice</dc:creator>
  <cp:lastModifiedBy>Legroux Geoffrey</cp:lastModifiedBy>
  <cp:revision>9</cp:revision>
  <dcterms:created xsi:type="dcterms:W3CDTF">2023-02-13T10:13:00Z</dcterms:created>
  <dcterms:modified xsi:type="dcterms:W3CDTF">2023-10-26T12:46:00Z</dcterms:modified>
</cp:coreProperties>
</file>