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B21" w14:textId="070D8087" w:rsidR="002B3317" w:rsidRDefault="002B3317" w:rsidP="0054352F">
      <w:pPr>
        <w:spacing w:line="276" w:lineRule="auto"/>
        <w:jc w:val="center"/>
        <w:rPr>
          <w:b/>
          <w:bCs/>
          <w:u w:val="single"/>
        </w:rPr>
      </w:pPr>
    </w:p>
    <w:p w14:paraId="640571CB" w14:textId="536A7D0C" w:rsidR="002B3317" w:rsidRPr="002B3317" w:rsidRDefault="008E3C58" w:rsidP="0054352F">
      <w:pPr>
        <w:spacing w:line="276" w:lineRule="auto"/>
        <w:jc w:val="center"/>
        <w:rPr>
          <w:rFonts w:asciiTheme="minorHAnsi" w:hAnsiTheme="minorHAnsi" w:cstheme="minorHAnsi"/>
          <w:b/>
          <w:bCs/>
          <w:sz w:val="22"/>
          <w:szCs w:val="22"/>
          <w:u w:val="single"/>
        </w:rPr>
      </w:pPr>
      <w:r w:rsidRPr="008E3C58">
        <w:rPr>
          <w:rFonts w:asciiTheme="minorHAnsi" w:hAnsiTheme="minorHAnsi" w:cstheme="minorHAnsi"/>
          <w:b/>
          <w:bCs/>
          <w:sz w:val="22"/>
          <w:szCs w:val="22"/>
          <w:u w:val="single"/>
        </w:rPr>
        <w:t>Dalle de moquette bouclée texturée en polyamide</w:t>
      </w:r>
      <w:r>
        <w:rPr>
          <w:rFonts w:asciiTheme="minorHAnsi" w:hAnsiTheme="minorHAnsi" w:cstheme="minorHAnsi"/>
          <w:b/>
          <w:bCs/>
          <w:sz w:val="22"/>
          <w:szCs w:val="22"/>
          <w:u w:val="single"/>
        </w:rPr>
        <w:t xml:space="preserve"> 6</w:t>
      </w:r>
    </w:p>
    <w:p w14:paraId="68017E0B" w14:textId="1C4D4E74" w:rsidR="002B3317" w:rsidRDefault="002B3317" w:rsidP="0054352F">
      <w:pPr>
        <w:spacing w:line="276" w:lineRule="auto"/>
        <w:jc w:val="center"/>
        <w:rPr>
          <w:b/>
          <w:bCs/>
          <w:u w:val="single"/>
        </w:rPr>
      </w:pPr>
    </w:p>
    <w:p w14:paraId="5CC7858A" w14:textId="77777777" w:rsidR="002B3317" w:rsidRDefault="002B3317" w:rsidP="0054352F">
      <w:pPr>
        <w:spacing w:line="276" w:lineRule="auto"/>
        <w:jc w:val="center"/>
        <w:rPr>
          <w:b/>
          <w:bCs/>
          <w:u w:val="single"/>
        </w:rPr>
      </w:pPr>
    </w:p>
    <w:p w14:paraId="6D5AF152"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54352F">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54352F">
      <w:pPr>
        <w:pStyle w:val="Default"/>
        <w:spacing w:line="276" w:lineRule="auto"/>
        <w:rPr>
          <w:lang w:val="fr-BE"/>
        </w:rPr>
      </w:pPr>
    </w:p>
    <w:p w14:paraId="2E11D992" w14:textId="150F6AC9" w:rsidR="002B3317" w:rsidRPr="00C31A49" w:rsidRDefault="002B3317" w:rsidP="0054352F">
      <w:pPr>
        <w:pStyle w:val="Default"/>
        <w:spacing w:line="276" w:lineRule="auto"/>
        <w:jc w:val="both"/>
        <w:rPr>
          <w:sz w:val="22"/>
          <w:szCs w:val="22"/>
          <w:lang w:val="fr-BE"/>
        </w:rPr>
      </w:pPr>
      <w:r w:rsidRPr="002B3317">
        <w:rPr>
          <w:sz w:val="22"/>
          <w:szCs w:val="22"/>
          <w:lang w:val="fr-BE"/>
        </w:rPr>
        <w:t>Dalle de moquette tufté</w:t>
      </w:r>
      <w:r w:rsidR="00C31A49">
        <w:rPr>
          <w:sz w:val="22"/>
          <w:szCs w:val="22"/>
          <w:lang w:val="fr-BE"/>
        </w:rPr>
        <w:t>e</w:t>
      </w:r>
      <w:r w:rsidRPr="002B3317">
        <w:rPr>
          <w:sz w:val="22"/>
          <w:szCs w:val="22"/>
          <w:lang w:val="fr-BE"/>
        </w:rPr>
        <w:t xml:space="preserve"> </w:t>
      </w:r>
      <w:r w:rsidR="00F67A14">
        <w:rPr>
          <w:sz w:val="22"/>
          <w:szCs w:val="22"/>
          <w:lang w:val="fr-BE"/>
        </w:rPr>
        <w:t>en</w:t>
      </w:r>
      <w:r w:rsidRPr="002B3317">
        <w:rPr>
          <w:sz w:val="22"/>
          <w:szCs w:val="22"/>
          <w:lang w:val="fr-BE"/>
        </w:rPr>
        <w:t xml:space="preserve"> format 50 x 50 cm avec une structure de poil bouclé</w:t>
      </w:r>
      <w:r w:rsidR="00C31A49">
        <w:rPr>
          <w:sz w:val="22"/>
          <w:szCs w:val="22"/>
          <w:lang w:val="fr-BE"/>
        </w:rPr>
        <w:t>e</w:t>
      </w:r>
      <w:r w:rsidRPr="002B3317">
        <w:rPr>
          <w:sz w:val="22"/>
          <w:szCs w:val="22"/>
          <w:lang w:val="fr-BE"/>
        </w:rPr>
        <w:t xml:space="preserve"> </w:t>
      </w:r>
      <w:r w:rsidR="00944C27">
        <w:rPr>
          <w:sz w:val="22"/>
          <w:szCs w:val="22"/>
          <w:lang w:val="fr-BE"/>
        </w:rPr>
        <w:t>texturé</w:t>
      </w:r>
      <w:r w:rsidR="00C31A49">
        <w:rPr>
          <w:sz w:val="22"/>
          <w:szCs w:val="22"/>
          <w:lang w:val="fr-BE"/>
        </w:rPr>
        <w:t>e</w:t>
      </w:r>
      <w:r w:rsidR="005A0E7B">
        <w:rPr>
          <w:sz w:val="22"/>
          <w:szCs w:val="22"/>
          <w:lang w:val="fr-BE"/>
        </w:rPr>
        <w:t>.</w:t>
      </w:r>
      <w:r w:rsidRPr="002B3317">
        <w:rPr>
          <w:sz w:val="22"/>
          <w:szCs w:val="22"/>
          <w:lang w:val="fr-BE"/>
        </w:rPr>
        <w:t xml:space="preserve"> </w:t>
      </w:r>
      <w:r w:rsidRPr="00CC3785">
        <w:rPr>
          <w:sz w:val="22"/>
          <w:szCs w:val="22"/>
          <w:lang w:val="fr-BE"/>
        </w:rPr>
        <w:t xml:space="preserve">Le matériau des poils est composé de fils </w:t>
      </w:r>
      <w:r w:rsidR="00CC3785" w:rsidRPr="00CC3785">
        <w:rPr>
          <w:sz w:val="22"/>
          <w:szCs w:val="22"/>
          <w:lang w:val="fr-BE"/>
        </w:rPr>
        <w:t xml:space="preserve">en polyamide </w:t>
      </w:r>
      <w:r w:rsidR="00CC3785">
        <w:rPr>
          <w:sz w:val="22"/>
          <w:szCs w:val="22"/>
          <w:lang w:val="fr-BE"/>
        </w:rPr>
        <w:t>6</w:t>
      </w:r>
      <w:r w:rsidR="00060856">
        <w:rPr>
          <w:sz w:val="22"/>
          <w:szCs w:val="22"/>
          <w:lang w:val="fr-BE"/>
        </w:rPr>
        <w:t xml:space="preserve"> qui </w:t>
      </w:r>
      <w:r w:rsidRPr="00CC3785">
        <w:rPr>
          <w:sz w:val="22"/>
          <w:szCs w:val="22"/>
          <w:lang w:val="fr-BE"/>
        </w:rPr>
        <w:t xml:space="preserve">sont </w:t>
      </w:r>
      <w:r w:rsidR="00060856">
        <w:rPr>
          <w:sz w:val="22"/>
          <w:szCs w:val="22"/>
          <w:lang w:val="fr-BE"/>
        </w:rPr>
        <w:t xml:space="preserve">pour </w:t>
      </w:r>
      <w:r w:rsidRPr="00CC3785">
        <w:rPr>
          <w:sz w:val="22"/>
          <w:szCs w:val="22"/>
          <w:lang w:val="fr-BE"/>
        </w:rPr>
        <w:t>100%</w:t>
      </w:r>
      <w:r w:rsidR="0054352F">
        <w:rPr>
          <w:sz w:val="22"/>
          <w:szCs w:val="22"/>
          <w:lang w:val="fr-BE"/>
        </w:rPr>
        <w:t xml:space="preserve"> </w:t>
      </w:r>
      <w:r w:rsidRPr="00CC3785">
        <w:rPr>
          <w:sz w:val="22"/>
          <w:szCs w:val="22"/>
          <w:lang w:val="fr-BE"/>
        </w:rPr>
        <w:t xml:space="preserve"> colorés dans la masse.  </w:t>
      </w:r>
    </w:p>
    <w:p w14:paraId="7DD4854F" w14:textId="67A21588" w:rsidR="002B3317" w:rsidRPr="0054352F" w:rsidRDefault="00F22959" w:rsidP="0054352F">
      <w:pPr>
        <w:pStyle w:val="Default"/>
        <w:spacing w:line="276" w:lineRule="auto"/>
        <w:jc w:val="both"/>
        <w:rPr>
          <w:sz w:val="22"/>
          <w:szCs w:val="22"/>
          <w:lang w:val="fr-BE"/>
        </w:rPr>
      </w:pPr>
      <w:r w:rsidRPr="0054352F">
        <w:rPr>
          <w:sz w:val="22"/>
          <w:szCs w:val="22"/>
          <w:lang w:val="fr-BE"/>
        </w:rPr>
        <w:t>L</w:t>
      </w:r>
      <w:r w:rsidR="00710F2E" w:rsidRPr="0054352F">
        <w:rPr>
          <w:sz w:val="22"/>
          <w:szCs w:val="22"/>
          <w:lang w:val="fr-BE"/>
        </w:rPr>
        <w:t>a dalle de moquette est conforme à la classe d'utilisation 33 pour les projets intensifs.</w:t>
      </w:r>
    </w:p>
    <w:p w14:paraId="5D0B2EA5" w14:textId="77777777" w:rsidR="002B3317" w:rsidRPr="0054352F" w:rsidRDefault="002B3317" w:rsidP="0054352F">
      <w:pPr>
        <w:pStyle w:val="Default"/>
        <w:spacing w:line="276" w:lineRule="auto"/>
        <w:jc w:val="both"/>
        <w:rPr>
          <w:sz w:val="22"/>
          <w:szCs w:val="22"/>
          <w:lang w:val="fr-BE"/>
        </w:rPr>
      </w:pPr>
    </w:p>
    <w:p w14:paraId="11094F07" w14:textId="5419244F"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Le poids des poils est de </w:t>
      </w:r>
      <w:r w:rsidR="00F50055">
        <w:rPr>
          <w:sz w:val="22"/>
          <w:szCs w:val="22"/>
          <w:lang w:val="fr-BE"/>
        </w:rPr>
        <w:t>720</w:t>
      </w:r>
      <w:r w:rsidR="000F46CA">
        <w:rPr>
          <w:sz w:val="22"/>
          <w:szCs w:val="22"/>
          <w:lang w:val="fr-BE"/>
        </w:rPr>
        <w:t xml:space="preserve"> </w:t>
      </w:r>
      <w:r w:rsidRPr="0054352F">
        <w:rPr>
          <w:sz w:val="22"/>
          <w:szCs w:val="22"/>
          <w:lang w:val="fr-BE"/>
        </w:rPr>
        <w:t>g</w:t>
      </w:r>
      <w:r w:rsidR="0054352F">
        <w:rPr>
          <w:sz w:val="22"/>
          <w:szCs w:val="22"/>
          <w:lang w:val="fr-BE"/>
        </w:rPr>
        <w:t>r</w:t>
      </w:r>
      <w:r w:rsidRPr="0054352F">
        <w:rPr>
          <w:sz w:val="22"/>
          <w:szCs w:val="22"/>
          <w:lang w:val="fr-BE"/>
        </w:rPr>
        <w:t>/m² et le poids total de 4</w:t>
      </w:r>
      <w:r w:rsidR="00F50055">
        <w:rPr>
          <w:sz w:val="22"/>
          <w:szCs w:val="22"/>
          <w:lang w:val="fr-BE"/>
        </w:rPr>
        <w:t>260</w:t>
      </w:r>
      <w:r w:rsidRPr="0054352F">
        <w:rPr>
          <w:sz w:val="22"/>
          <w:szCs w:val="22"/>
          <w:lang w:val="fr-BE"/>
        </w:rPr>
        <w:t xml:space="preserve"> g</w:t>
      </w:r>
      <w:r w:rsidR="0054352F">
        <w:rPr>
          <w:sz w:val="22"/>
          <w:szCs w:val="22"/>
          <w:lang w:val="fr-BE"/>
        </w:rPr>
        <w:t>r</w:t>
      </w:r>
      <w:r w:rsidRPr="0054352F">
        <w:rPr>
          <w:sz w:val="22"/>
          <w:szCs w:val="22"/>
          <w:lang w:val="fr-BE"/>
        </w:rPr>
        <w:t xml:space="preserve">/m². La dalle </w:t>
      </w:r>
      <w:r w:rsidR="000F46CA">
        <w:rPr>
          <w:sz w:val="22"/>
          <w:szCs w:val="22"/>
          <w:lang w:val="fr-BE"/>
        </w:rPr>
        <w:t>est installée de la façon monolithique.</w:t>
      </w:r>
    </w:p>
    <w:p w14:paraId="2D298647" w14:textId="77777777" w:rsidR="002B3317" w:rsidRPr="0054352F" w:rsidRDefault="002B3317" w:rsidP="0054352F">
      <w:pPr>
        <w:pStyle w:val="Default"/>
        <w:spacing w:line="276" w:lineRule="auto"/>
        <w:jc w:val="both"/>
        <w:rPr>
          <w:sz w:val="22"/>
          <w:szCs w:val="22"/>
          <w:lang w:val="fr-BE"/>
        </w:rPr>
      </w:pPr>
    </w:p>
    <w:p w14:paraId="2D111741" w14:textId="0949F9EB"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La dalle de moquette a un classement </w:t>
      </w:r>
      <w:r w:rsidR="000E1700" w:rsidRPr="0054352F">
        <w:rPr>
          <w:sz w:val="22"/>
          <w:szCs w:val="22"/>
          <w:lang w:val="fr-BE"/>
        </w:rPr>
        <w:t>de</w:t>
      </w:r>
      <w:r w:rsidRPr="0054352F">
        <w:rPr>
          <w:sz w:val="22"/>
          <w:szCs w:val="22"/>
          <w:lang w:val="fr-BE"/>
        </w:rPr>
        <w:t xml:space="preserve"> feu </w:t>
      </w:r>
      <w:r w:rsidR="00F50055">
        <w:rPr>
          <w:sz w:val="22"/>
          <w:szCs w:val="22"/>
          <w:lang w:val="fr-BE"/>
        </w:rPr>
        <w:t>B</w:t>
      </w:r>
      <w:r w:rsidRPr="0054352F">
        <w:rPr>
          <w:sz w:val="22"/>
          <w:szCs w:val="22"/>
          <w:lang w:val="fr-BE"/>
        </w:rPr>
        <w:t>fl-S1. La valeur d'absorption acoustique est de 0,15 aw, et la réduction du bruit d'impact est de 2</w:t>
      </w:r>
      <w:r w:rsidR="001D1897">
        <w:rPr>
          <w:sz w:val="22"/>
          <w:szCs w:val="22"/>
          <w:lang w:val="fr-BE"/>
        </w:rPr>
        <w:t>5</w:t>
      </w:r>
      <w:r w:rsidR="0054352F">
        <w:rPr>
          <w:sz w:val="22"/>
          <w:szCs w:val="22"/>
          <w:lang w:val="fr-BE"/>
        </w:rPr>
        <w:t xml:space="preserve"> </w:t>
      </w:r>
      <w:r w:rsidRPr="0054352F">
        <w:rPr>
          <w:sz w:val="22"/>
          <w:szCs w:val="22"/>
          <w:lang w:val="fr-BE"/>
        </w:rPr>
        <w:t>dB. Sur demande</w:t>
      </w:r>
      <w:r w:rsidR="00197372" w:rsidRPr="0054352F">
        <w:rPr>
          <w:sz w:val="22"/>
          <w:szCs w:val="22"/>
          <w:lang w:val="fr-BE"/>
        </w:rPr>
        <w:t xml:space="preserve"> et sous conditions</w:t>
      </w:r>
      <w:r w:rsidRPr="0054352F">
        <w:rPr>
          <w:sz w:val="22"/>
          <w:szCs w:val="22"/>
          <w:lang w:val="fr-BE"/>
        </w:rPr>
        <w:t>, le dos de la dalle de moquette peut être pourvu d'un support en feutre qui augmente encore le confort acoustique.</w:t>
      </w:r>
    </w:p>
    <w:p w14:paraId="03B5DAB4" w14:textId="77777777" w:rsidR="002B3317" w:rsidRPr="0054352F" w:rsidRDefault="002B3317" w:rsidP="0054352F">
      <w:pPr>
        <w:pStyle w:val="Default"/>
        <w:spacing w:line="276" w:lineRule="auto"/>
        <w:jc w:val="both"/>
        <w:rPr>
          <w:sz w:val="22"/>
          <w:szCs w:val="22"/>
          <w:lang w:val="fr-BE"/>
        </w:rPr>
      </w:pPr>
    </w:p>
    <w:p w14:paraId="7293E6CE" w14:textId="2812985C"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54352F">
      <w:pPr>
        <w:pStyle w:val="TxBrp4"/>
        <w:spacing w:line="276" w:lineRule="auto"/>
        <w:jc w:val="both"/>
        <w:rPr>
          <w:rFonts w:asciiTheme="minorHAnsi" w:hAnsiTheme="minorHAnsi" w:cstheme="minorHAnsi"/>
          <w:sz w:val="22"/>
          <w:szCs w:val="22"/>
          <w:lang w:val="fr-FR"/>
        </w:rPr>
      </w:pPr>
    </w:p>
    <w:p w14:paraId="3E424797" w14:textId="620C3DB6"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w:t>
      </w:r>
      <w:r w:rsidR="008E5983">
        <w:rPr>
          <w:rFonts w:asciiTheme="minorHAnsi" w:hAnsiTheme="minorHAnsi" w:cstheme="minorHAnsi"/>
          <w:sz w:val="22"/>
          <w:szCs w:val="22"/>
          <w:lang w:val="fr-FR"/>
        </w:rPr>
        <w:t>0</w:t>
      </w:r>
      <w:r w:rsidR="0054352F">
        <w:rPr>
          <w:rFonts w:asciiTheme="minorHAnsi" w:hAnsiTheme="minorHAnsi" w:cstheme="minorHAnsi"/>
          <w:sz w:val="22"/>
          <w:szCs w:val="22"/>
          <w:lang w:val="fr-FR"/>
        </w:rPr>
        <w:t xml:space="preserve"> </w:t>
      </w:r>
      <w:r>
        <w:rPr>
          <w:rFonts w:asciiTheme="minorHAnsi" w:hAnsiTheme="minorHAnsi" w:cstheme="minorHAnsi"/>
          <w:sz w:val="22"/>
          <w:szCs w:val="22"/>
          <w:lang w:val="fr-FR"/>
        </w:rPr>
        <w:t>% de matières premières recyclées.</w:t>
      </w:r>
    </w:p>
    <w:p w14:paraId="0FC13B6F" w14:textId="77777777" w:rsidR="002B3317" w:rsidRDefault="002B3317" w:rsidP="0054352F">
      <w:pPr>
        <w:pStyle w:val="Default"/>
        <w:spacing w:line="276" w:lineRule="auto"/>
        <w:jc w:val="both"/>
        <w:rPr>
          <w:sz w:val="22"/>
          <w:szCs w:val="22"/>
          <w:lang w:val="fr-FR"/>
        </w:rPr>
      </w:pPr>
    </w:p>
    <w:p w14:paraId="5B28049C" w14:textId="29E20892" w:rsidR="002B3317" w:rsidRDefault="00E11EA0" w:rsidP="0054352F">
      <w:pPr>
        <w:pStyle w:val="Default"/>
        <w:spacing w:line="276" w:lineRule="auto"/>
        <w:jc w:val="both"/>
        <w:rPr>
          <w:sz w:val="22"/>
          <w:szCs w:val="22"/>
          <w:lang w:val="fr-FR"/>
        </w:rPr>
      </w:pPr>
      <w:r w:rsidRPr="00E11EA0">
        <w:rPr>
          <w:sz w:val="22"/>
          <w:szCs w:val="22"/>
          <w:lang w:val="fr-FR"/>
        </w:rPr>
        <w:t>Le design doux et équilibré est disponible en 12 couleurs naturelles attrayantes qui créent une sensation apaisante et relaxante sur le lieu de travail.  La dalle de moquette peut être combinée avec deux autres structures qui font partie du même concept de design.</w:t>
      </w:r>
    </w:p>
    <w:p w14:paraId="6B425372" w14:textId="77777777" w:rsidR="00191515" w:rsidRDefault="00191515" w:rsidP="0054352F">
      <w:pPr>
        <w:pStyle w:val="Default"/>
        <w:spacing w:line="276" w:lineRule="auto"/>
        <w:jc w:val="both"/>
        <w:rPr>
          <w:sz w:val="22"/>
          <w:szCs w:val="22"/>
          <w:lang w:val="fr-FR"/>
        </w:rPr>
      </w:pPr>
    </w:p>
    <w:p w14:paraId="0808C575" w14:textId="31A39197" w:rsidR="00191515" w:rsidRPr="00E23C4E" w:rsidRDefault="00191515" w:rsidP="0054352F">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5DB64764" w14:textId="77777777" w:rsidR="009F0D64" w:rsidRPr="00E23C4E" w:rsidRDefault="009F0D64" w:rsidP="0054352F">
      <w:pPr>
        <w:pStyle w:val="Default"/>
        <w:spacing w:line="276" w:lineRule="auto"/>
        <w:jc w:val="both"/>
        <w:rPr>
          <w:sz w:val="22"/>
          <w:szCs w:val="22"/>
          <w:lang w:val="fr-FR"/>
        </w:rPr>
      </w:pPr>
    </w:p>
    <w:p w14:paraId="2945BC4D" w14:textId="7B60C937"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Seule l'électricité verte provenant de sources renouvelables est utilisée dans la production. Cela fait partie du système de gestion environnementale efficace du fabricant, qui est certifié ISO 14001. </w:t>
      </w:r>
      <w:r w:rsidR="007F2D06" w:rsidRPr="0054352F">
        <w:rPr>
          <w:sz w:val="22"/>
          <w:szCs w:val="22"/>
          <w:lang w:val="fr-BE"/>
        </w:rPr>
        <w:t xml:space="preserve">La dalle de moquette bénéficie du label environnemental GUT et répond au label Indoor Air </w:t>
      </w:r>
      <w:r w:rsidR="006210C0" w:rsidRPr="0054352F">
        <w:rPr>
          <w:sz w:val="22"/>
          <w:szCs w:val="22"/>
          <w:lang w:val="fr-BE"/>
        </w:rPr>
        <w:t>Co</w:t>
      </w:r>
      <w:r w:rsidR="001E54CA" w:rsidRPr="0054352F">
        <w:rPr>
          <w:sz w:val="22"/>
          <w:szCs w:val="22"/>
          <w:lang w:val="fr-BE"/>
        </w:rPr>
        <w:t>m</w:t>
      </w:r>
      <w:r w:rsidR="006210C0" w:rsidRPr="0054352F">
        <w:rPr>
          <w:sz w:val="22"/>
          <w:szCs w:val="22"/>
          <w:lang w:val="fr-BE"/>
        </w:rPr>
        <w:t>fort</w:t>
      </w:r>
      <w:r w:rsidR="007F2D06" w:rsidRPr="0054352F">
        <w:rPr>
          <w:sz w:val="22"/>
          <w:szCs w:val="22"/>
          <w:lang w:val="fr-BE"/>
        </w:rPr>
        <w:t xml:space="preserve"> Gold.</w:t>
      </w:r>
    </w:p>
    <w:p w14:paraId="7355A877" w14:textId="77777777" w:rsidR="002B3317" w:rsidRPr="0054352F" w:rsidRDefault="002B3317" w:rsidP="0054352F">
      <w:pPr>
        <w:pStyle w:val="Default"/>
        <w:spacing w:line="276" w:lineRule="auto"/>
        <w:jc w:val="both"/>
        <w:rPr>
          <w:sz w:val="22"/>
          <w:szCs w:val="22"/>
          <w:lang w:val="fr-BE"/>
        </w:rPr>
      </w:pPr>
    </w:p>
    <w:p w14:paraId="382CDCE9" w14:textId="77777777" w:rsidR="002B3317" w:rsidRPr="0054352F" w:rsidRDefault="002B3317" w:rsidP="0054352F">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2C239DE7" w14:textId="77777777" w:rsidR="002B3317" w:rsidRPr="0054352F" w:rsidRDefault="002B3317" w:rsidP="0054352F">
      <w:pPr>
        <w:pStyle w:val="Default"/>
        <w:spacing w:line="276" w:lineRule="auto"/>
        <w:jc w:val="both"/>
        <w:rPr>
          <w:sz w:val="22"/>
          <w:szCs w:val="22"/>
          <w:lang w:val="fr-BE"/>
        </w:rPr>
      </w:pPr>
    </w:p>
    <w:p w14:paraId="6D6D76CA" w14:textId="77777777" w:rsidR="002B3317" w:rsidRPr="0054352F" w:rsidRDefault="002B3317" w:rsidP="0054352F">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21E9DA8" w14:textId="1B932EBE" w:rsidR="001C569D" w:rsidRPr="0054352F" w:rsidRDefault="001C569D" w:rsidP="0054352F">
      <w:pPr>
        <w:spacing w:line="276" w:lineRule="auto"/>
        <w:rPr>
          <w:rFonts w:asciiTheme="minorHAnsi" w:hAnsiTheme="minorHAnsi" w:cstheme="minorHAnsi"/>
          <w:sz w:val="22"/>
          <w:szCs w:val="22"/>
        </w:rPr>
      </w:pPr>
    </w:p>
    <w:p w14:paraId="347CC30F" w14:textId="3153E7F9" w:rsidR="001C569D" w:rsidRDefault="001C569D" w:rsidP="0054352F">
      <w:pPr>
        <w:spacing w:line="276" w:lineRule="auto"/>
        <w:rPr>
          <w:rFonts w:asciiTheme="minorHAnsi" w:hAnsiTheme="minorHAnsi" w:cstheme="minorHAnsi"/>
          <w:sz w:val="22"/>
          <w:szCs w:val="22"/>
          <w:lang w:val="fr-FR"/>
        </w:rPr>
      </w:pPr>
    </w:p>
    <w:p w14:paraId="7AF706E8" w14:textId="71D0EF1C" w:rsidR="001C569D" w:rsidRDefault="001C569D" w:rsidP="0054352F">
      <w:pPr>
        <w:spacing w:line="276" w:lineRule="auto"/>
        <w:rPr>
          <w:rFonts w:asciiTheme="minorHAnsi" w:hAnsiTheme="minorHAnsi" w:cstheme="minorHAnsi"/>
          <w:sz w:val="22"/>
          <w:szCs w:val="22"/>
          <w:lang w:val="fr-FR"/>
        </w:rPr>
      </w:pPr>
    </w:p>
    <w:p w14:paraId="43FB83B2" w14:textId="585BB78D" w:rsidR="00D1062E" w:rsidRDefault="00D1062E"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p>
    <w:p w14:paraId="43FB83B3"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C98581E" w:rsidR="001D57B1" w:rsidRPr="00BF2D66" w:rsidRDefault="008E5F5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064021">
              <w:rPr>
                <w:rFonts w:asciiTheme="minorHAnsi" w:hAnsiTheme="minorHAnsi" w:cstheme="minorHAnsi"/>
                <w:color w:val="000000"/>
                <w:sz w:val="22"/>
                <w:szCs w:val="22"/>
                <w:lang w:val="fr-FR"/>
              </w:rPr>
              <w:t>e</w:t>
            </w:r>
            <w:r w:rsidR="006D0896">
              <w:rPr>
                <w:rFonts w:asciiTheme="minorHAnsi" w:hAnsiTheme="minorHAnsi" w:cstheme="minorHAnsi"/>
                <w:color w:val="000000"/>
                <w:sz w:val="22"/>
                <w:szCs w:val="22"/>
                <w:lang w:val="fr-FR"/>
              </w:rPr>
              <w:t xml:space="preserve"> à </w:t>
            </w:r>
            <w:r w:rsidR="001E54CA">
              <w:rPr>
                <w:rFonts w:asciiTheme="minorHAnsi" w:hAnsiTheme="minorHAnsi" w:cstheme="minorHAnsi"/>
                <w:color w:val="000000"/>
                <w:sz w:val="22"/>
                <w:szCs w:val="22"/>
                <w:lang w:val="fr-FR"/>
              </w:rPr>
              <w:t xml:space="preserve">structure </w:t>
            </w:r>
            <w:r w:rsidR="006D0896">
              <w:rPr>
                <w:rFonts w:asciiTheme="minorHAnsi" w:hAnsiTheme="minorHAnsi" w:cstheme="minorHAnsi"/>
                <w:color w:val="000000"/>
                <w:sz w:val="22"/>
                <w:szCs w:val="22"/>
                <w:lang w:val="fr-FR"/>
              </w:rPr>
              <w:t>bouclée texturée</w:t>
            </w:r>
          </w:p>
        </w:tc>
      </w:tr>
      <w:tr w:rsidR="001D57B1" w:rsidRPr="00BF2D66" w14:paraId="43FB83BB" w14:textId="77777777" w:rsidTr="0021535B">
        <w:trPr>
          <w:trHeight w:val="283"/>
        </w:trPr>
        <w:tc>
          <w:tcPr>
            <w:tcW w:w="3085" w:type="dxa"/>
          </w:tcPr>
          <w:p w14:paraId="43FB83B8"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215B4B6"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w:t>
            </w:r>
            <w:r w:rsidR="0054352F">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4</w:t>
            </w:r>
            <w:r w:rsidR="0054352F">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m²/boite)</w:t>
            </w:r>
          </w:p>
        </w:tc>
      </w:tr>
      <w:tr w:rsidR="001D57B1" w:rsidRPr="00BF2D66" w14:paraId="43FB83BF" w14:textId="77777777" w:rsidTr="0021535B">
        <w:trPr>
          <w:trHeight w:val="283"/>
        </w:trPr>
        <w:tc>
          <w:tcPr>
            <w:tcW w:w="3085" w:type="dxa"/>
          </w:tcPr>
          <w:p w14:paraId="43FB83BC"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5982360"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54352F">
              <w:rPr>
                <w:rFonts w:asciiTheme="minorHAnsi" w:hAnsiTheme="minorHAnsi" w:cstheme="minorHAnsi"/>
                <w:color w:val="000000"/>
                <w:sz w:val="22"/>
                <w:szCs w:val="22"/>
                <w:lang w:val="fr-FR"/>
              </w:rPr>
              <w:t>,</w:t>
            </w:r>
            <w:r w:rsidR="000F46CA">
              <w:rPr>
                <w:rFonts w:asciiTheme="minorHAnsi" w:hAnsiTheme="minorHAnsi" w:cstheme="minorHAnsi"/>
                <w:color w:val="000000"/>
                <w:sz w:val="22"/>
                <w:szCs w:val="22"/>
                <w:lang w:val="fr-FR"/>
              </w:rPr>
              <w:t>4</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518FD2D5"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54352F">
              <w:rPr>
                <w:rFonts w:asciiTheme="minorHAnsi" w:hAnsiTheme="minorHAnsi" w:cstheme="minorHAnsi"/>
                <w:sz w:val="22"/>
                <w:szCs w:val="22"/>
                <w:lang w:val="fr-FR"/>
              </w:rPr>
              <w:t>,</w:t>
            </w:r>
            <w:r w:rsidR="000F46CA">
              <w:rPr>
                <w:rFonts w:asciiTheme="minorHAnsi" w:hAnsiTheme="minorHAnsi" w:cstheme="minorHAnsi"/>
                <w:sz w:val="22"/>
                <w:szCs w:val="22"/>
                <w:lang w:val="fr-FR"/>
              </w:rPr>
              <w:t>0</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C707264" w:rsidR="001D57B1" w:rsidRPr="00BF2D66" w:rsidRDefault="002B331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4D672A">
              <w:rPr>
                <w:rFonts w:asciiTheme="minorHAnsi" w:hAnsiTheme="minorHAnsi" w:cstheme="minorHAnsi"/>
                <w:sz w:val="22"/>
                <w:szCs w:val="22"/>
                <w:lang w:val="fr-FR"/>
              </w:rPr>
              <w:t>2</w:t>
            </w:r>
            <w:r>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21535B">
        <w:trPr>
          <w:trHeight w:val="283"/>
        </w:trPr>
        <w:tc>
          <w:tcPr>
            <w:tcW w:w="3085" w:type="dxa"/>
          </w:tcPr>
          <w:p w14:paraId="43FB83C8" w14:textId="32CC1F70" w:rsidR="001D57B1" w:rsidRPr="00BF2D66" w:rsidRDefault="000A59DE"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4FE58F8C"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54352F">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424C608B"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w:t>
            </w:r>
            <w:r w:rsidR="00AD3FC7">
              <w:rPr>
                <w:rFonts w:asciiTheme="minorHAnsi" w:hAnsiTheme="minorHAnsi" w:cstheme="minorHAnsi"/>
                <w:color w:val="000000"/>
                <w:sz w:val="22"/>
                <w:szCs w:val="22"/>
                <w:lang w:val="fr-FR"/>
              </w:rPr>
              <w:t>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1192586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74286E94"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000F46CA">
              <w:rPr>
                <w:rFonts w:asciiTheme="minorHAnsi" w:hAnsiTheme="minorHAnsi" w:cstheme="minorHAnsi"/>
                <w:color w:val="000000"/>
                <w:sz w:val="22"/>
                <w:szCs w:val="22"/>
                <w:lang w:val="fr-FR"/>
              </w:rPr>
              <w:t>07.821</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427F5E3" w:rsidR="001D57B1" w:rsidRPr="00BF2D66" w:rsidRDefault="000F46C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605</w:t>
            </w:r>
            <w:r w:rsidR="001D57B1"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18186466" w:rsidR="00542620"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w:t>
            </w:r>
            <w:r w:rsidR="000F46CA">
              <w:rPr>
                <w:rFonts w:asciiTheme="minorHAnsi" w:hAnsiTheme="minorHAnsi" w:cstheme="minorHAnsi"/>
                <w:color w:val="000000"/>
                <w:sz w:val="22"/>
                <w:szCs w:val="22"/>
                <w:lang w:val="fr-FR"/>
              </w:rPr>
              <w:t>145</w:t>
            </w:r>
            <w:r w:rsidR="00542620"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4C50C06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21535B">
        <w:trPr>
          <w:trHeight w:val="283"/>
        </w:trPr>
        <w:tc>
          <w:tcPr>
            <w:tcW w:w="3085" w:type="dxa"/>
          </w:tcPr>
          <w:p w14:paraId="43FB83E4" w14:textId="1448D6D9"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38F1FF56" w:rsidR="004E5EAF" w:rsidRDefault="00D9355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54DCE1C7"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lang w:val="fr-FR"/>
              </w:rPr>
              <w:t xml:space="preserve">≥ </w:t>
            </w:r>
            <w:r w:rsidR="00626062" w:rsidRPr="0054352F">
              <w:rPr>
                <w:rFonts w:asciiTheme="minorHAnsi" w:hAnsiTheme="minorHAnsi" w:cstheme="minorHAnsi"/>
                <w:sz w:val="22"/>
                <w:szCs w:val="22"/>
                <w:lang w:val="fr-FR"/>
              </w:rPr>
              <w:t>5</w:t>
            </w:r>
          </w:p>
        </w:tc>
      </w:tr>
      <w:tr w:rsidR="00542620" w:rsidRPr="00BF2D66" w14:paraId="43FB83EF" w14:textId="77777777" w:rsidTr="0021535B">
        <w:trPr>
          <w:trHeight w:val="283"/>
        </w:trPr>
        <w:tc>
          <w:tcPr>
            <w:tcW w:w="3085" w:type="dxa"/>
          </w:tcPr>
          <w:p w14:paraId="43FB83EC" w14:textId="0A076A5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color w:val="000000"/>
                <w:sz w:val="22"/>
                <w:szCs w:val="22"/>
                <w:lang w:val="fr-FR"/>
              </w:rPr>
              <w:t>≤ 0,2 %</w:t>
            </w:r>
          </w:p>
        </w:tc>
      </w:tr>
      <w:tr w:rsidR="00542620" w:rsidRPr="00BF2D66" w14:paraId="43FB83F3" w14:textId="77777777" w:rsidTr="0021535B">
        <w:trPr>
          <w:trHeight w:val="283"/>
        </w:trPr>
        <w:tc>
          <w:tcPr>
            <w:tcW w:w="3085" w:type="dxa"/>
          </w:tcPr>
          <w:p w14:paraId="43FB83F0" w14:textId="2D58D9D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0CBD02C" w:rsidR="00542620" w:rsidRPr="0054352F" w:rsidRDefault="00542620"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ΔLw</w:t>
            </w:r>
            <w:r w:rsidRPr="0054352F">
              <w:rPr>
                <w:rFonts w:asciiTheme="minorHAnsi" w:hAnsiTheme="minorHAnsi" w:cstheme="minorHAnsi"/>
                <w:color w:val="000000"/>
                <w:sz w:val="22"/>
                <w:szCs w:val="22"/>
                <w:lang w:val="fr-FR"/>
              </w:rPr>
              <w:t xml:space="preserve"> =2</w:t>
            </w:r>
            <w:r w:rsidR="000F46CA">
              <w:rPr>
                <w:rFonts w:asciiTheme="minorHAnsi" w:hAnsiTheme="minorHAnsi" w:cstheme="minorHAnsi"/>
                <w:color w:val="000000"/>
                <w:sz w:val="22"/>
                <w:szCs w:val="22"/>
                <w:lang w:val="fr-FR"/>
              </w:rPr>
              <w:t xml:space="preserve">4 </w:t>
            </w:r>
            <w:r w:rsidRPr="0054352F">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666E8505"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54352F">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rPr>
              <w:t>αw</w:t>
            </w:r>
            <w:r w:rsidRPr="0054352F">
              <w:rPr>
                <w:rFonts w:asciiTheme="minorHAnsi" w:hAnsiTheme="minorHAnsi" w:cstheme="minorHAnsi"/>
                <w:sz w:val="22"/>
                <w:szCs w:val="22"/>
                <w:lang w:val="nl-BE"/>
              </w:rPr>
              <w:t xml:space="preserve"> = 0,15</w:t>
            </w:r>
            <w:r w:rsidR="00A35347" w:rsidRPr="0054352F">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25F69455" w:rsidR="00BE304C" w:rsidRDefault="002918E2"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39451D02" w:rsidR="00BE304C" w:rsidRPr="00BF2D66" w:rsidRDefault="00BE304C" w:rsidP="0054352F">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6BD4760E" w:rsidR="00BE304C" w:rsidRPr="0054352F" w:rsidRDefault="00DA0A8C"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Conforme</w:t>
            </w:r>
            <w:r w:rsidR="002B3317" w:rsidRPr="0054352F">
              <w:rPr>
                <w:rFonts w:asciiTheme="minorHAnsi" w:hAnsiTheme="minorHAnsi" w:cstheme="minorHAnsi"/>
                <w:sz w:val="22"/>
                <w:szCs w:val="22"/>
                <w:lang w:val="fr-FR"/>
              </w:rPr>
              <w:t xml:space="preserve"> à la norme 01350 de qualité de l'air intérieur</w:t>
            </w:r>
            <w:r w:rsidR="00A071C5" w:rsidRPr="0054352F">
              <w:rPr>
                <w:rFonts w:asciiTheme="minorHAnsi" w:hAnsiTheme="minorHAnsi" w:cstheme="minorHAnsi"/>
                <w:sz w:val="22"/>
                <w:szCs w:val="22"/>
                <w:lang w:val="fr-FR"/>
              </w:rPr>
              <w:t xml:space="preserve"> (gold)</w:t>
            </w:r>
          </w:p>
        </w:tc>
      </w:tr>
      <w:tr w:rsidR="00542620" w:rsidRPr="00BF2D66" w14:paraId="726F7855" w14:textId="77777777" w:rsidTr="0021535B">
        <w:trPr>
          <w:trHeight w:val="283"/>
        </w:trPr>
        <w:tc>
          <w:tcPr>
            <w:tcW w:w="3085" w:type="dxa"/>
          </w:tcPr>
          <w:p w14:paraId="6F30E296" w14:textId="699AB029" w:rsidR="00542620" w:rsidRPr="00BF2D66" w:rsidRDefault="0021535B"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38B4EC2F" w:rsidR="00542620" w:rsidRPr="0027663C"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A071C5">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00E13ED9"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06C98E31" w:rsidR="00542620" w:rsidRPr="0054352F" w:rsidRDefault="00B63EE1" w:rsidP="0054352F">
            <w:pPr>
              <w:pStyle w:val="TxBrp4"/>
              <w:spacing w:line="276" w:lineRule="auto"/>
              <w:rPr>
                <w:rFonts w:asciiTheme="minorHAnsi" w:hAnsiTheme="minorHAnsi" w:cstheme="minorHAnsi"/>
                <w:color w:val="000000"/>
                <w:sz w:val="22"/>
                <w:szCs w:val="22"/>
              </w:rPr>
            </w:pPr>
            <w:r w:rsidRPr="0054352F">
              <w:rPr>
                <w:rFonts w:asciiTheme="minorHAnsi" w:hAnsiTheme="minorHAnsi" w:cs="Arial"/>
                <w:sz w:val="22"/>
                <w:szCs w:val="22"/>
              </w:rPr>
              <w:t xml:space="preserve">Monolithique, tourné d’un quart, </w:t>
            </w:r>
            <w:r w:rsidR="00A071C5" w:rsidRPr="0054352F">
              <w:rPr>
                <w:rFonts w:asciiTheme="minorHAnsi" w:hAnsiTheme="minorHAnsi" w:cs="Arial"/>
                <w:sz w:val="22"/>
                <w:szCs w:val="22"/>
              </w:rPr>
              <w:t>toutes directions</w:t>
            </w:r>
          </w:p>
        </w:tc>
      </w:tr>
    </w:tbl>
    <w:p w14:paraId="43FB8414" w14:textId="77777777" w:rsidR="0027663C" w:rsidRDefault="0027663C" w:rsidP="0054352F">
      <w:pPr>
        <w:widowControl/>
        <w:autoSpaceDE/>
        <w:autoSpaceDN/>
        <w:adjustRightInd/>
        <w:spacing w:line="276" w:lineRule="auto"/>
        <w:rPr>
          <w:rFonts w:asciiTheme="minorHAnsi" w:hAnsiTheme="minorHAnsi" w:cstheme="minorHAnsi"/>
          <w:sz w:val="22"/>
          <w:szCs w:val="22"/>
          <w:u w:val="single"/>
          <w:lang w:val="fr-FR"/>
        </w:rPr>
      </w:pPr>
    </w:p>
    <w:p w14:paraId="32FCADFA" w14:textId="77777777" w:rsidR="0027189F" w:rsidRDefault="0027189F" w:rsidP="0054352F">
      <w:pPr>
        <w:pStyle w:val="TxBrp4"/>
        <w:spacing w:line="276" w:lineRule="auto"/>
        <w:rPr>
          <w:rFonts w:asciiTheme="minorHAnsi" w:hAnsiTheme="minorHAnsi" w:cstheme="minorHAnsi"/>
          <w:sz w:val="22"/>
          <w:szCs w:val="22"/>
          <w:u w:val="single"/>
          <w:lang w:val="fr-FR"/>
        </w:rPr>
      </w:pPr>
    </w:p>
    <w:p w14:paraId="7BBEF180" w14:textId="487DF58C" w:rsidR="00DA0A8C" w:rsidRDefault="00DA0A8C" w:rsidP="0054352F">
      <w:pPr>
        <w:pStyle w:val="TxBrp4"/>
        <w:spacing w:line="276" w:lineRule="auto"/>
        <w:rPr>
          <w:rFonts w:asciiTheme="minorHAnsi" w:hAnsiTheme="minorHAnsi" w:cstheme="minorHAnsi"/>
          <w:sz w:val="22"/>
          <w:szCs w:val="22"/>
          <w:u w:val="single"/>
          <w:lang w:val="fr-FR"/>
        </w:rPr>
      </w:pPr>
    </w:p>
    <w:p w14:paraId="2341DA1F" w14:textId="77777777" w:rsidR="00413EC5" w:rsidRDefault="00413EC5" w:rsidP="0054352F">
      <w:pPr>
        <w:pStyle w:val="TxBrp4"/>
        <w:spacing w:line="276" w:lineRule="auto"/>
        <w:rPr>
          <w:rFonts w:asciiTheme="minorHAnsi" w:hAnsiTheme="minorHAnsi" w:cstheme="minorHAnsi"/>
          <w:sz w:val="22"/>
          <w:szCs w:val="22"/>
          <w:u w:val="single"/>
          <w:lang w:val="fr-FR"/>
        </w:rPr>
      </w:pPr>
    </w:p>
    <w:p w14:paraId="29573EAA" w14:textId="77777777" w:rsidR="00DA0A8C" w:rsidRDefault="00DA0A8C" w:rsidP="0054352F">
      <w:pPr>
        <w:pStyle w:val="TxBrp4"/>
        <w:spacing w:line="276" w:lineRule="auto"/>
        <w:rPr>
          <w:rFonts w:asciiTheme="minorHAnsi" w:hAnsiTheme="minorHAnsi" w:cstheme="minorHAnsi"/>
          <w:sz w:val="22"/>
          <w:szCs w:val="22"/>
          <w:u w:val="single"/>
          <w:lang w:val="fr-FR"/>
        </w:rPr>
      </w:pPr>
    </w:p>
    <w:p w14:paraId="4523DCBC" w14:textId="77777777" w:rsidR="00DA0A8C" w:rsidRDefault="00DA0A8C" w:rsidP="0054352F">
      <w:pPr>
        <w:pStyle w:val="TxBrp4"/>
        <w:spacing w:line="276" w:lineRule="auto"/>
        <w:rPr>
          <w:rFonts w:asciiTheme="minorHAnsi" w:hAnsiTheme="minorHAnsi" w:cstheme="minorHAnsi"/>
          <w:sz w:val="22"/>
          <w:szCs w:val="22"/>
          <w:u w:val="single"/>
          <w:lang w:val="fr-FR"/>
        </w:rPr>
      </w:pPr>
    </w:p>
    <w:p w14:paraId="306F9741" w14:textId="130BC226" w:rsidR="00CA3748" w:rsidRPr="00BF2D66" w:rsidRDefault="00CA3748"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Spécifications techniques selon EN 14041</w:t>
      </w:r>
    </w:p>
    <w:p w14:paraId="43FB8415" w14:textId="440A72C1" w:rsidR="0027663C" w:rsidRDefault="0027663C"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843"/>
        <w:gridCol w:w="5103"/>
      </w:tblGrid>
      <w:tr w:rsidR="00CA3748" w:rsidRPr="00BF2D66" w14:paraId="4018AB90" w14:textId="77777777" w:rsidTr="00DA0A8C">
        <w:trPr>
          <w:trHeight w:val="283"/>
        </w:trPr>
        <w:tc>
          <w:tcPr>
            <w:tcW w:w="3085" w:type="dxa"/>
          </w:tcPr>
          <w:p w14:paraId="5A39E62E"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43" w:type="dxa"/>
          </w:tcPr>
          <w:p w14:paraId="7A40632D"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103" w:type="dxa"/>
          </w:tcPr>
          <w:p w14:paraId="1329A7D7" w14:textId="7EA3F5C9" w:rsidR="00CA3748" w:rsidRPr="00BF2D66" w:rsidRDefault="000F46CA"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w:t>
            </w:r>
            <w:r w:rsidR="00CA3748" w:rsidRPr="00BF2D66">
              <w:rPr>
                <w:rFonts w:asciiTheme="minorHAnsi" w:hAnsiTheme="minorHAnsi" w:cstheme="minorHAnsi"/>
                <w:sz w:val="22"/>
                <w:szCs w:val="22"/>
                <w:vertAlign w:val="subscript"/>
                <w:lang w:val="fr-FR"/>
              </w:rPr>
              <w:t>fl</w:t>
            </w:r>
            <w:r w:rsidR="00CA3748"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DA0A8C">
        <w:trPr>
          <w:trHeight w:val="283"/>
        </w:trPr>
        <w:tc>
          <w:tcPr>
            <w:tcW w:w="3085" w:type="dxa"/>
          </w:tcPr>
          <w:p w14:paraId="0D7A7F98"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43" w:type="dxa"/>
          </w:tcPr>
          <w:p w14:paraId="2F7D9A40"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103" w:type="dxa"/>
          </w:tcPr>
          <w:p w14:paraId="00934D4A" w14:textId="786BFC06"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DA0A8C">
        <w:trPr>
          <w:trHeight w:val="283"/>
        </w:trPr>
        <w:tc>
          <w:tcPr>
            <w:tcW w:w="3085" w:type="dxa"/>
          </w:tcPr>
          <w:p w14:paraId="20D3F6C1" w14:textId="77777777" w:rsidR="00CA3748" w:rsidRPr="00BF2D66" w:rsidRDefault="00CA3748"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43" w:type="dxa"/>
          </w:tcPr>
          <w:p w14:paraId="7EAE038B" w14:textId="713C6FF9" w:rsidR="00CA3748" w:rsidRPr="00BF2D66" w:rsidRDefault="003114FF"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103" w:type="dxa"/>
          </w:tcPr>
          <w:p w14:paraId="74CAE13E" w14:textId="2A39A75B" w:rsidR="00CA3748" w:rsidRPr="00BF2D66" w:rsidRDefault="007D1DE1"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DA0A8C">
        <w:trPr>
          <w:trHeight w:val="283"/>
        </w:trPr>
        <w:tc>
          <w:tcPr>
            <w:tcW w:w="3085" w:type="dxa"/>
          </w:tcPr>
          <w:p w14:paraId="4BFD43B6" w14:textId="37F3313F" w:rsidR="00083B61" w:rsidRPr="00BF2D66" w:rsidRDefault="00083B61"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43" w:type="dxa"/>
          </w:tcPr>
          <w:p w14:paraId="4E1B6892" w14:textId="7929ADFA" w:rsidR="00083B61" w:rsidRPr="00BF2D66" w:rsidRDefault="006157B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103" w:type="dxa"/>
          </w:tcPr>
          <w:p w14:paraId="0C877F83" w14:textId="47500EE1"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DA0A8C">
        <w:trPr>
          <w:trHeight w:val="283"/>
        </w:trPr>
        <w:tc>
          <w:tcPr>
            <w:tcW w:w="3085" w:type="dxa"/>
          </w:tcPr>
          <w:p w14:paraId="56E19884" w14:textId="63772F0A" w:rsidR="00083B61" w:rsidRPr="00BF2D66" w:rsidRDefault="00B123C6"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43" w:type="dxa"/>
          </w:tcPr>
          <w:p w14:paraId="27A4D945" w14:textId="6B4DFB17"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103" w:type="dxa"/>
          </w:tcPr>
          <w:p w14:paraId="7A2FF352" w14:textId="1FEEEB4C" w:rsidR="00083B61" w:rsidRPr="00BF2D66" w:rsidRDefault="00952CF3"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54352F">
      <w:pPr>
        <w:widowControl/>
        <w:autoSpaceDE/>
        <w:autoSpaceDN/>
        <w:adjustRightInd/>
        <w:spacing w:line="276" w:lineRule="auto"/>
        <w:rPr>
          <w:rFonts w:asciiTheme="minorHAnsi" w:hAnsiTheme="minorHAnsi" w:cstheme="minorHAnsi"/>
          <w:sz w:val="22"/>
          <w:szCs w:val="22"/>
          <w:u w:val="single"/>
          <w:lang w:val="fr-FR"/>
        </w:rPr>
      </w:pPr>
    </w:p>
    <w:p w14:paraId="51048A96" w14:textId="77777777" w:rsidR="00704FC6" w:rsidRDefault="00704FC6"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6" w14:textId="23A6CC9E" w:rsidR="00D1062E" w:rsidRDefault="00D1062E" w:rsidP="0054352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2D0C166E" w:rsidR="00CE660B" w:rsidRPr="00BF2D66" w:rsidRDefault="00DF77CA" w:rsidP="0054352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3A7EC2">
        <w:rPr>
          <w:rFonts w:asciiTheme="minorHAnsi" w:hAnsiTheme="minorHAnsi" w:cstheme="minorHAnsi"/>
          <w:color w:val="000000"/>
          <w:sz w:val="22"/>
          <w:szCs w:val="22"/>
          <w:lang w:val="fr-FR"/>
        </w:rPr>
        <w:t>262</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w:t>
      </w:r>
      <w:r w:rsidR="00E81730">
        <w:rPr>
          <w:rFonts w:asciiTheme="minorHAnsi" w:hAnsiTheme="minorHAnsi" w:cstheme="minorHAnsi"/>
          <w:color w:val="000000"/>
          <w:sz w:val="22"/>
          <w:szCs w:val="22"/>
          <w:lang w:val="fr-FR"/>
        </w:rPr>
        <w:t xml:space="preserve"> des revêtements</w:t>
      </w:r>
      <w:r w:rsidR="007E67BB" w:rsidRPr="00BF2D66">
        <w:rPr>
          <w:rFonts w:asciiTheme="minorHAnsi" w:hAnsiTheme="minorHAnsi" w:cstheme="minorHAnsi"/>
          <w:color w:val="000000"/>
          <w:sz w:val="22"/>
          <w:szCs w:val="22"/>
          <w:lang w:val="fr-FR"/>
        </w:rPr>
        <w:t xml:space="preserve"> de sol </w:t>
      </w:r>
      <w:r w:rsidR="003A7EC2">
        <w:rPr>
          <w:rFonts w:asciiTheme="minorHAnsi" w:hAnsiTheme="minorHAnsi" w:cstheme="minorHAnsi"/>
          <w:color w:val="000000"/>
          <w:sz w:val="22"/>
          <w:szCs w:val="22"/>
          <w:lang w:val="fr-FR"/>
        </w:rPr>
        <w:t>textiles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54352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54352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54352F">
      <w:pPr>
        <w:pStyle w:val="TxBrp4"/>
        <w:spacing w:line="276" w:lineRule="auto"/>
        <w:jc w:val="both"/>
        <w:rPr>
          <w:rFonts w:asciiTheme="minorHAnsi" w:hAnsiTheme="minorHAnsi" w:cstheme="minorHAnsi"/>
          <w:sz w:val="22"/>
          <w:szCs w:val="22"/>
          <w:lang w:val="fr-FR"/>
        </w:rPr>
      </w:pPr>
    </w:p>
    <w:p w14:paraId="13250568" w14:textId="5C34B551" w:rsidR="00FC1DCC" w:rsidRDefault="003822BC"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54352F">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54352F">
      <w:pPr>
        <w:pStyle w:val="TxBrp4"/>
        <w:spacing w:line="276" w:lineRule="auto"/>
        <w:jc w:val="both"/>
        <w:rPr>
          <w:rFonts w:asciiTheme="minorHAnsi" w:hAnsiTheme="minorHAnsi" w:cstheme="minorHAnsi"/>
          <w:sz w:val="22"/>
          <w:szCs w:val="22"/>
          <w:lang w:val="fr-FR"/>
        </w:rPr>
      </w:pPr>
    </w:p>
    <w:p w14:paraId="53AFBD5D" w14:textId="32222EF3" w:rsidR="009C7636" w:rsidRDefault="007E67B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0C313E">
        <w:rPr>
          <w:rFonts w:asciiTheme="minorHAnsi" w:hAnsiTheme="minorHAnsi" w:cstheme="minorHAnsi"/>
          <w:sz w:val="22"/>
          <w:szCs w:val="22"/>
          <w:lang w:val="fr-FR"/>
        </w:rPr>
        <w:t>entre</w:t>
      </w:r>
      <w:r w:rsidR="00CE660B" w:rsidRPr="00BF2D66">
        <w:rPr>
          <w:rFonts w:asciiTheme="minorHAnsi" w:hAnsiTheme="minorHAnsi" w:cstheme="minorHAnsi"/>
          <w:sz w:val="22"/>
          <w:szCs w:val="22"/>
          <w:lang w:val="fr-FR"/>
        </w:rPr>
        <w:t xml:space="preserv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°C </w:t>
      </w:r>
      <w:r w:rsidR="00D026E9">
        <w:rPr>
          <w:rFonts w:asciiTheme="minorHAnsi" w:hAnsiTheme="minorHAnsi" w:cstheme="minorHAnsi"/>
          <w:sz w:val="22"/>
          <w:szCs w:val="22"/>
          <w:lang w:val="fr-FR"/>
        </w:rPr>
        <w:t>et 20°C maximum, ainsi qu’</w:t>
      </w:r>
      <w:r w:rsidR="00CE660B" w:rsidRPr="00BF2D66">
        <w:rPr>
          <w:rFonts w:asciiTheme="minorHAnsi" w:hAnsiTheme="minorHAnsi" w:cstheme="minorHAnsi"/>
          <w:sz w:val="22"/>
          <w:szCs w:val="22"/>
          <w:lang w:val="fr-FR"/>
        </w:rPr>
        <w:t>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w:t>
      </w:r>
      <w:r w:rsidRPr="00BF2D66">
        <w:rPr>
          <w:rFonts w:asciiTheme="minorHAnsi" w:hAnsiTheme="minorHAnsi" w:cstheme="minorHAnsi"/>
          <w:sz w:val="22"/>
          <w:szCs w:val="22"/>
          <w:lang w:val="fr-FR"/>
        </w:rPr>
        <w:lastRenderedPageBreak/>
        <w:t>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54352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54352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B1573E0" w:rsidR="00CE660B" w:rsidRPr="008409E0"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54352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w:t>
      </w:r>
      <w:r w:rsidR="00CE660B" w:rsidRPr="00BF2D66">
        <w:rPr>
          <w:rFonts w:asciiTheme="minorHAnsi" w:hAnsiTheme="minorHAnsi" w:cstheme="minorHAnsi"/>
          <w:sz w:val="22"/>
          <w:szCs w:val="22"/>
          <w:lang w:val="fr-FR"/>
        </w:rPr>
        <w:lastRenderedPageBreak/>
        <w:t xml:space="preserve">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54352F">
      <w:pPr>
        <w:pStyle w:val="TxBrp4"/>
        <w:spacing w:line="276" w:lineRule="auto"/>
        <w:jc w:val="both"/>
        <w:rPr>
          <w:rFonts w:asciiTheme="minorHAnsi" w:hAnsiTheme="minorHAnsi" w:cstheme="minorHAnsi"/>
          <w:sz w:val="22"/>
          <w:szCs w:val="22"/>
          <w:u w:val="single"/>
          <w:lang w:val="fr-FR"/>
        </w:rPr>
      </w:pPr>
    </w:p>
    <w:p w14:paraId="7FBB541E" w14:textId="77777777" w:rsidR="007E5389" w:rsidRDefault="007E5389" w:rsidP="007E5389">
      <w:pPr>
        <w:pStyle w:val="TxBrp4"/>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Protection</w:t>
      </w:r>
    </w:p>
    <w:p w14:paraId="5096F7B6" w14:textId="77777777" w:rsidR="007E5389" w:rsidRDefault="007E5389" w:rsidP="007E5389">
      <w:pPr>
        <w:spacing w:line="276" w:lineRule="auto"/>
        <w:jc w:val="both"/>
        <w:rPr>
          <w:rFonts w:asciiTheme="minorHAnsi" w:hAnsiTheme="minorHAnsi" w:cstheme="minorHAnsi"/>
          <w:sz w:val="22"/>
          <w:szCs w:val="22"/>
          <w:lang w:val="fr-FR"/>
        </w:rPr>
      </w:pPr>
    </w:p>
    <w:p w14:paraId="4AA9E1D9"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24A2EC6" w14:textId="77777777" w:rsidR="007E5389" w:rsidRDefault="007E5389" w:rsidP="007E5389">
      <w:pPr>
        <w:widowControl/>
        <w:autoSpaceDE/>
        <w:adjustRightInd/>
        <w:spacing w:after="160" w:line="256" w:lineRule="auto"/>
        <w:rPr>
          <w:rFonts w:asciiTheme="minorHAnsi" w:hAnsiTheme="minorHAnsi" w:cstheme="minorHAnsi"/>
          <w:sz w:val="22"/>
          <w:szCs w:val="22"/>
          <w:u w:val="single"/>
          <w:lang w:val="fr-FR"/>
        </w:rPr>
      </w:pPr>
    </w:p>
    <w:p w14:paraId="22F1662E"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Entretien et soin du revêtement de sol</w:t>
      </w:r>
    </w:p>
    <w:p w14:paraId="21E9BD1E"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1F08E98A"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 Assurer l'utilisation de roues dures sous les fauteuils roulants.</w:t>
      </w:r>
    </w:p>
    <w:p w14:paraId="33F40B1B"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079208D1"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u w:val="single"/>
          <w:lang w:val="fr-FR"/>
        </w:rPr>
        <w:t>Mesures préventives</w:t>
      </w:r>
    </w:p>
    <w:p w14:paraId="0868F233"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3D2051D0"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Prévoyez un paillasson tufté avec fils grattant d’environ 9 mm d’épaisseur et environ 4700 gr/m² avec un poil coupé 5/32</w:t>
      </w:r>
      <w:r>
        <w:rPr>
          <w:rFonts w:ascii="Calibri" w:hAnsi="Calibri" w:cs="Arial"/>
          <w:sz w:val="22"/>
          <w:szCs w:val="22"/>
          <w:lang w:val="fr-FR"/>
        </w:rPr>
        <w:t>”</w:t>
      </w:r>
      <w:r>
        <w:rPr>
          <w:rFonts w:asciiTheme="minorHAnsi" w:hAnsiTheme="minorHAnsi" w:cstheme="minorHAnsi"/>
          <w:sz w:val="22"/>
          <w:szCs w:val="22"/>
          <w:lang w:val="fr-FR"/>
        </w:rPr>
        <w:t xml:space="preserve"> 100 % Econyl nylon et ancré dans un endos en vinyle Everfort. Le paillasson doit être prévu à toutes les entrées du bâtiment, être adapté à l’intensité du trafic et toujours mesurer de préférence au moins 6 m de longueur.</w:t>
      </w:r>
    </w:p>
    <w:p w14:paraId="1BEF76C0"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4CAB6397"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66186867"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Assurance de garantie spéciale pour les chantiers de plus de 2.000 m²</w:t>
      </w:r>
    </w:p>
    <w:p w14:paraId="516A1B5F" w14:textId="77777777" w:rsidR="007E5389" w:rsidRDefault="007E5389" w:rsidP="007E5389">
      <w:pPr>
        <w:spacing w:line="276" w:lineRule="auto"/>
        <w:ind w:left="360"/>
        <w:jc w:val="both"/>
        <w:rPr>
          <w:rFonts w:asciiTheme="minorHAnsi" w:hAnsiTheme="minorHAnsi" w:cstheme="minorHAnsi"/>
          <w:sz w:val="22"/>
          <w:szCs w:val="22"/>
          <w:lang w:val="fr-FR"/>
        </w:rPr>
      </w:pPr>
    </w:p>
    <w:p w14:paraId="6EA8F130"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assurance de garantie de 10 ans est prévue par le fabricant du revêtement de sol, tant sur le produit que sur l’exécution.</w:t>
      </w:r>
    </w:p>
    <w:p w14:paraId="6239AAEF"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595F6D43"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3CEF8665"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4C03AF7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446FAC8B"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Inscription au cahier des charges</w:t>
      </w:r>
    </w:p>
    <w:p w14:paraId="0B3B2671"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Adjudication / demande de prix entrepreneur général</w:t>
      </w:r>
    </w:p>
    <w:p w14:paraId="773E7DA3"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au maître de l’ouvrage</w:t>
      </w:r>
    </w:p>
    <w:p w14:paraId="3366C615"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écrite de la garantie assurée par l’entreprise de pose</w:t>
      </w:r>
    </w:p>
    <w:p w14:paraId="08C9F4D1"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Conseils techniques</w:t>
      </w:r>
    </w:p>
    <w:p w14:paraId="46C19997"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avant la pose</w:t>
      </w:r>
    </w:p>
    <w:p w14:paraId="0C2E2162"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pendant la pose</w:t>
      </w:r>
    </w:p>
    <w:p w14:paraId="60C352D0"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définitif et rapport définitif incluant le montant assuré</w:t>
      </w:r>
    </w:p>
    <w:p w14:paraId="404CE7D4"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Délivrance de la garantie en cas d’avis positif à l’entreprise de pose</w:t>
      </w:r>
    </w:p>
    <w:p w14:paraId="616689EE" w14:textId="77777777" w:rsidR="007E5389" w:rsidRDefault="007E5389" w:rsidP="007E5389">
      <w:pPr>
        <w:pStyle w:val="TxBrp3"/>
        <w:numPr>
          <w:ilvl w:val="0"/>
          <w:numId w:val="6"/>
        </w:numPr>
        <w:tabs>
          <w:tab w:val="clear" w:pos="204"/>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Inspection éventuelle en cours de garantie</w:t>
      </w:r>
    </w:p>
    <w:p w14:paraId="35C6481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12C8E2B7" w14:textId="77777777" w:rsidR="007E5389" w:rsidRDefault="007E5389" w:rsidP="007E5389">
      <w:pPr>
        <w:pStyle w:val="TxBrp3"/>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fabricant applique les pourcentages d’amortissement suivants, y compris en cas de compensation en nature : </w:t>
      </w:r>
    </w:p>
    <w:p w14:paraId="3FAE5515" w14:textId="77777777" w:rsidR="007E5389" w:rsidRDefault="007E5389" w:rsidP="007E5389">
      <w:pPr>
        <w:pStyle w:val="TxBrp3"/>
        <w:spacing w:line="276" w:lineRule="auto"/>
        <w:jc w:val="both"/>
        <w:rPr>
          <w:rFonts w:asciiTheme="minorHAnsi" w:hAnsiTheme="minorHAnsi" w:cstheme="minorHAnsi"/>
          <w:sz w:val="22"/>
          <w:szCs w:val="22"/>
          <w:lang w:val="fr-FR"/>
        </w:rPr>
      </w:pPr>
    </w:p>
    <w:p w14:paraId="1E02CEDD"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vertAlign w:val="superscript"/>
          <w:lang w:val="fr-FR"/>
        </w:rPr>
        <w:t>ière</w:t>
      </w:r>
      <w:r>
        <w:rPr>
          <w:rFonts w:asciiTheme="minorHAnsi" w:hAnsiTheme="minorHAnsi" w:cstheme="minorHAnsi"/>
          <w:sz w:val="22"/>
          <w:szCs w:val="22"/>
          <w:lang w:val="fr-FR"/>
        </w:rPr>
        <w:t xml:space="preserve"> année de garantie : remboursement à 100 % du montant total ;</w:t>
      </w:r>
    </w:p>
    <w:p w14:paraId="6CC6ABA8"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3</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85 % du montant total ;</w:t>
      </w:r>
    </w:p>
    <w:p w14:paraId="1CB42ECA"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5</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60 % du montant total ;</w:t>
      </w:r>
    </w:p>
    <w:p w14:paraId="4773BE72"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7</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30 % du montant total ;</w:t>
      </w:r>
    </w:p>
    <w:p w14:paraId="3E5DE4B2" w14:textId="77777777" w:rsidR="007E5389" w:rsidRDefault="007E5389" w:rsidP="007E5389">
      <w:pPr>
        <w:pStyle w:val="TxBrp3"/>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de la 8</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à la 10</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54352F">
      <w:pPr>
        <w:spacing w:line="276" w:lineRule="auto"/>
        <w:rPr>
          <w:rFonts w:asciiTheme="minorHAnsi" w:hAnsiTheme="minorHAnsi" w:cstheme="minorHAnsi"/>
          <w:sz w:val="22"/>
          <w:szCs w:val="22"/>
          <w:lang w:val="fr-FR"/>
        </w:rPr>
      </w:pPr>
    </w:p>
    <w:p w14:paraId="43FB8463" w14:textId="77777777" w:rsidR="00D1062E" w:rsidRPr="00BF2D66" w:rsidRDefault="00D1062E" w:rsidP="0054352F">
      <w:pPr>
        <w:tabs>
          <w:tab w:val="left" w:pos="204"/>
        </w:tabs>
        <w:spacing w:line="276" w:lineRule="auto"/>
        <w:rPr>
          <w:rFonts w:asciiTheme="minorHAnsi" w:hAnsiTheme="minorHAnsi" w:cstheme="minorHAnsi"/>
          <w:sz w:val="22"/>
          <w:szCs w:val="22"/>
          <w:lang w:val="fr-FR"/>
        </w:rPr>
      </w:pPr>
    </w:p>
    <w:sectPr w:rsidR="00D1062E" w:rsidRPr="00BF2D66" w:rsidSect="008B43E9">
      <w:headerReference w:type="even" r:id="rId7"/>
      <w:headerReference w:type="default" r:id="rId8"/>
      <w:footerReference w:type="even" r:id="rId9"/>
      <w:footerReference w:type="default" r:id="rId10"/>
      <w:headerReference w:type="first" r:id="rId11"/>
      <w:footerReference w:type="first" r:id="rId12"/>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12D9" w14:textId="77777777" w:rsidR="00A0636A" w:rsidRDefault="00A0636A" w:rsidP="00212DC4">
      <w:r>
        <w:separator/>
      </w:r>
    </w:p>
  </w:endnote>
  <w:endnote w:type="continuationSeparator" w:id="0">
    <w:p w14:paraId="773861E9" w14:textId="77777777" w:rsidR="00A0636A" w:rsidRDefault="00A0636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4A41" w14:textId="77777777" w:rsidR="00B451F3" w:rsidRDefault="00B451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5358" w14:textId="77777777" w:rsidR="00B451F3" w:rsidRDefault="00B451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7F0" w14:textId="77777777" w:rsidR="00B451F3" w:rsidRDefault="00B451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49E1" w14:textId="77777777" w:rsidR="00A0636A" w:rsidRDefault="00A0636A" w:rsidP="00212DC4">
      <w:r>
        <w:separator/>
      </w:r>
    </w:p>
  </w:footnote>
  <w:footnote w:type="continuationSeparator" w:id="0">
    <w:p w14:paraId="78FE60D0" w14:textId="77777777" w:rsidR="00A0636A" w:rsidRDefault="00A0636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501A" w14:textId="77777777" w:rsidR="00B451F3" w:rsidRDefault="00B451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B9CB" w14:textId="18960AAE" w:rsidR="000F46CA" w:rsidRDefault="00B451F3">
    <w:pPr>
      <w:pStyle w:val="Koptekst"/>
    </w:pPr>
    <w:r>
      <w:t>Mai 2024</w:t>
    </w:r>
  </w:p>
  <w:p w14:paraId="20DA9CA3" w14:textId="1391174E" w:rsidR="0054352F" w:rsidRPr="0054352F" w:rsidRDefault="0054352F">
    <w:pPr>
      <w:pStyle w:val="Koptekst"/>
      <w:rPr>
        <w:rFonts w:asciiTheme="minorHAnsi" w:hAnsiTheme="minorHAnsi" w:cstheme="minorHAnsi"/>
        <w:sz w:val="22"/>
        <w:szCs w:val="22"/>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3C86" w14:textId="77777777" w:rsidR="00B451F3" w:rsidRDefault="00B451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624077360">
    <w:abstractNumId w:val="1"/>
  </w:num>
  <w:num w:numId="2" w16cid:durableId="134152303">
    <w:abstractNumId w:val="0"/>
  </w:num>
  <w:num w:numId="3" w16cid:durableId="435953541">
    <w:abstractNumId w:val="3"/>
  </w:num>
  <w:num w:numId="4" w16cid:durableId="465008244">
    <w:abstractNumId w:val="2"/>
  </w:num>
  <w:num w:numId="5" w16cid:durableId="191458003">
    <w:abstractNumId w:val="3"/>
  </w:num>
  <w:num w:numId="6" w16cid:durableId="177597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1017A"/>
    <w:rsid w:val="00011B18"/>
    <w:rsid w:val="00016A7A"/>
    <w:rsid w:val="00024358"/>
    <w:rsid w:val="00033C72"/>
    <w:rsid w:val="00036400"/>
    <w:rsid w:val="00060856"/>
    <w:rsid w:val="00064021"/>
    <w:rsid w:val="00066599"/>
    <w:rsid w:val="000709C5"/>
    <w:rsid w:val="00083B61"/>
    <w:rsid w:val="00083FA7"/>
    <w:rsid w:val="00084748"/>
    <w:rsid w:val="00092DF5"/>
    <w:rsid w:val="000A1B0E"/>
    <w:rsid w:val="000A1DD0"/>
    <w:rsid w:val="000A59DE"/>
    <w:rsid w:val="000A6BC8"/>
    <w:rsid w:val="000B1D75"/>
    <w:rsid w:val="000C313E"/>
    <w:rsid w:val="000C6137"/>
    <w:rsid w:val="000D7B67"/>
    <w:rsid w:val="000E1700"/>
    <w:rsid w:val="000E286D"/>
    <w:rsid w:val="000E2D0F"/>
    <w:rsid w:val="000E63CA"/>
    <w:rsid w:val="000F15D0"/>
    <w:rsid w:val="000F46CA"/>
    <w:rsid w:val="00113575"/>
    <w:rsid w:val="00123A5D"/>
    <w:rsid w:val="00125CCE"/>
    <w:rsid w:val="00127BE8"/>
    <w:rsid w:val="00135C81"/>
    <w:rsid w:val="00140151"/>
    <w:rsid w:val="00142F4D"/>
    <w:rsid w:val="00153D98"/>
    <w:rsid w:val="00166B3F"/>
    <w:rsid w:val="00176273"/>
    <w:rsid w:val="00181120"/>
    <w:rsid w:val="00181275"/>
    <w:rsid w:val="00182B27"/>
    <w:rsid w:val="00191515"/>
    <w:rsid w:val="001933D2"/>
    <w:rsid w:val="00195A8A"/>
    <w:rsid w:val="00197372"/>
    <w:rsid w:val="001A32BA"/>
    <w:rsid w:val="001A3438"/>
    <w:rsid w:val="001A529D"/>
    <w:rsid w:val="001A7410"/>
    <w:rsid w:val="001C569D"/>
    <w:rsid w:val="001C7F8A"/>
    <w:rsid w:val="001D1897"/>
    <w:rsid w:val="001D535B"/>
    <w:rsid w:val="001D57B1"/>
    <w:rsid w:val="001E420F"/>
    <w:rsid w:val="001E54CA"/>
    <w:rsid w:val="001F049D"/>
    <w:rsid w:val="00212DC4"/>
    <w:rsid w:val="00213EB1"/>
    <w:rsid w:val="0021535B"/>
    <w:rsid w:val="0022474C"/>
    <w:rsid w:val="002255DD"/>
    <w:rsid w:val="0027189F"/>
    <w:rsid w:val="0027663C"/>
    <w:rsid w:val="0028409E"/>
    <w:rsid w:val="002918E2"/>
    <w:rsid w:val="002B3317"/>
    <w:rsid w:val="002C16A3"/>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A7EC2"/>
    <w:rsid w:val="003D13E3"/>
    <w:rsid w:val="003E1182"/>
    <w:rsid w:val="003E7585"/>
    <w:rsid w:val="003F0AF1"/>
    <w:rsid w:val="004041EC"/>
    <w:rsid w:val="00413317"/>
    <w:rsid w:val="00413EC5"/>
    <w:rsid w:val="0041582D"/>
    <w:rsid w:val="004221BA"/>
    <w:rsid w:val="00427C3A"/>
    <w:rsid w:val="0043315C"/>
    <w:rsid w:val="004417DC"/>
    <w:rsid w:val="00442B75"/>
    <w:rsid w:val="0046501D"/>
    <w:rsid w:val="0047568C"/>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D672A"/>
    <w:rsid w:val="004E5EAF"/>
    <w:rsid w:val="004F2E10"/>
    <w:rsid w:val="004F3534"/>
    <w:rsid w:val="0050078F"/>
    <w:rsid w:val="00502D27"/>
    <w:rsid w:val="00513170"/>
    <w:rsid w:val="00520A66"/>
    <w:rsid w:val="00542620"/>
    <w:rsid w:val="0054336E"/>
    <w:rsid w:val="0054352F"/>
    <w:rsid w:val="00543663"/>
    <w:rsid w:val="00543E38"/>
    <w:rsid w:val="00544B9B"/>
    <w:rsid w:val="00553C61"/>
    <w:rsid w:val="0057780A"/>
    <w:rsid w:val="005A0E7B"/>
    <w:rsid w:val="005A5A2B"/>
    <w:rsid w:val="005B0B5F"/>
    <w:rsid w:val="005B4638"/>
    <w:rsid w:val="005C41CC"/>
    <w:rsid w:val="005D14B7"/>
    <w:rsid w:val="005D2C36"/>
    <w:rsid w:val="005D642F"/>
    <w:rsid w:val="005E5B5B"/>
    <w:rsid w:val="005F4F3E"/>
    <w:rsid w:val="005F5946"/>
    <w:rsid w:val="00611BE0"/>
    <w:rsid w:val="006157BD"/>
    <w:rsid w:val="006210C0"/>
    <w:rsid w:val="00626062"/>
    <w:rsid w:val="00630004"/>
    <w:rsid w:val="00632975"/>
    <w:rsid w:val="00632D13"/>
    <w:rsid w:val="00640B2B"/>
    <w:rsid w:val="0065164A"/>
    <w:rsid w:val="006516CE"/>
    <w:rsid w:val="00657722"/>
    <w:rsid w:val="00676BF2"/>
    <w:rsid w:val="006A23E8"/>
    <w:rsid w:val="006A427F"/>
    <w:rsid w:val="006C262A"/>
    <w:rsid w:val="006C548E"/>
    <w:rsid w:val="006C6234"/>
    <w:rsid w:val="006D07D6"/>
    <w:rsid w:val="006D0896"/>
    <w:rsid w:val="006D27A1"/>
    <w:rsid w:val="006E71DD"/>
    <w:rsid w:val="006E7A5A"/>
    <w:rsid w:val="0070149A"/>
    <w:rsid w:val="0070281C"/>
    <w:rsid w:val="00704FC6"/>
    <w:rsid w:val="00710F2E"/>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5389"/>
    <w:rsid w:val="007E67BB"/>
    <w:rsid w:val="007E7AAA"/>
    <w:rsid w:val="007F0D8C"/>
    <w:rsid w:val="007F1120"/>
    <w:rsid w:val="007F2D06"/>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B43E9"/>
    <w:rsid w:val="008B6150"/>
    <w:rsid w:val="008C2BDB"/>
    <w:rsid w:val="008D40FE"/>
    <w:rsid w:val="008D4850"/>
    <w:rsid w:val="008D57FB"/>
    <w:rsid w:val="008E0982"/>
    <w:rsid w:val="008E2CE1"/>
    <w:rsid w:val="008E3C58"/>
    <w:rsid w:val="008E5983"/>
    <w:rsid w:val="008E5F52"/>
    <w:rsid w:val="008F0120"/>
    <w:rsid w:val="008F3B70"/>
    <w:rsid w:val="00900384"/>
    <w:rsid w:val="00902EF4"/>
    <w:rsid w:val="00932390"/>
    <w:rsid w:val="00944C27"/>
    <w:rsid w:val="00952CF3"/>
    <w:rsid w:val="0095506D"/>
    <w:rsid w:val="00955F0C"/>
    <w:rsid w:val="0098213A"/>
    <w:rsid w:val="00984148"/>
    <w:rsid w:val="00990844"/>
    <w:rsid w:val="00994866"/>
    <w:rsid w:val="009A63C6"/>
    <w:rsid w:val="009C7636"/>
    <w:rsid w:val="009D4729"/>
    <w:rsid w:val="009E0424"/>
    <w:rsid w:val="009E28AE"/>
    <w:rsid w:val="009F0D64"/>
    <w:rsid w:val="009F1823"/>
    <w:rsid w:val="009F215B"/>
    <w:rsid w:val="00A0636A"/>
    <w:rsid w:val="00A071C5"/>
    <w:rsid w:val="00A11374"/>
    <w:rsid w:val="00A15369"/>
    <w:rsid w:val="00A22411"/>
    <w:rsid w:val="00A2424E"/>
    <w:rsid w:val="00A34758"/>
    <w:rsid w:val="00A35347"/>
    <w:rsid w:val="00A42F6F"/>
    <w:rsid w:val="00A478E6"/>
    <w:rsid w:val="00A50232"/>
    <w:rsid w:val="00A61C0F"/>
    <w:rsid w:val="00A769BB"/>
    <w:rsid w:val="00A97C4A"/>
    <w:rsid w:val="00AB51FA"/>
    <w:rsid w:val="00AB6AD2"/>
    <w:rsid w:val="00AD3FC7"/>
    <w:rsid w:val="00AE3198"/>
    <w:rsid w:val="00AE718A"/>
    <w:rsid w:val="00AE7606"/>
    <w:rsid w:val="00AE773D"/>
    <w:rsid w:val="00B11BE0"/>
    <w:rsid w:val="00B123C6"/>
    <w:rsid w:val="00B16DC6"/>
    <w:rsid w:val="00B451F3"/>
    <w:rsid w:val="00B53BE5"/>
    <w:rsid w:val="00B63EE1"/>
    <w:rsid w:val="00B65E5E"/>
    <w:rsid w:val="00B675E1"/>
    <w:rsid w:val="00B83B48"/>
    <w:rsid w:val="00B8406A"/>
    <w:rsid w:val="00B87031"/>
    <w:rsid w:val="00BC2527"/>
    <w:rsid w:val="00BD17EE"/>
    <w:rsid w:val="00BD37F7"/>
    <w:rsid w:val="00BD5F3A"/>
    <w:rsid w:val="00BE304C"/>
    <w:rsid w:val="00BF2D66"/>
    <w:rsid w:val="00C00738"/>
    <w:rsid w:val="00C07F1C"/>
    <w:rsid w:val="00C17C88"/>
    <w:rsid w:val="00C31577"/>
    <w:rsid w:val="00C31A49"/>
    <w:rsid w:val="00C36E87"/>
    <w:rsid w:val="00C4556A"/>
    <w:rsid w:val="00C46E12"/>
    <w:rsid w:val="00C506CE"/>
    <w:rsid w:val="00C628F1"/>
    <w:rsid w:val="00C72C65"/>
    <w:rsid w:val="00C81B21"/>
    <w:rsid w:val="00C82E42"/>
    <w:rsid w:val="00C90287"/>
    <w:rsid w:val="00CA3748"/>
    <w:rsid w:val="00CA7EE2"/>
    <w:rsid w:val="00CB1CBB"/>
    <w:rsid w:val="00CC1404"/>
    <w:rsid w:val="00CC31A8"/>
    <w:rsid w:val="00CC3785"/>
    <w:rsid w:val="00CE02FE"/>
    <w:rsid w:val="00CE660B"/>
    <w:rsid w:val="00D026E9"/>
    <w:rsid w:val="00D03DB9"/>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3B6"/>
    <w:rsid w:val="00DC1BBB"/>
    <w:rsid w:val="00DC3F66"/>
    <w:rsid w:val="00DC4DE1"/>
    <w:rsid w:val="00DC6369"/>
    <w:rsid w:val="00DC74A0"/>
    <w:rsid w:val="00DC787F"/>
    <w:rsid w:val="00DD01FA"/>
    <w:rsid w:val="00DE4CF6"/>
    <w:rsid w:val="00DF0607"/>
    <w:rsid w:val="00DF77CA"/>
    <w:rsid w:val="00E0278F"/>
    <w:rsid w:val="00E11EA0"/>
    <w:rsid w:val="00E21CA5"/>
    <w:rsid w:val="00E23C4E"/>
    <w:rsid w:val="00E34052"/>
    <w:rsid w:val="00E55D5B"/>
    <w:rsid w:val="00E60FB3"/>
    <w:rsid w:val="00E66C7D"/>
    <w:rsid w:val="00E801F9"/>
    <w:rsid w:val="00E8048E"/>
    <w:rsid w:val="00E81730"/>
    <w:rsid w:val="00E85DB9"/>
    <w:rsid w:val="00E87F4C"/>
    <w:rsid w:val="00E915FA"/>
    <w:rsid w:val="00E94E26"/>
    <w:rsid w:val="00EA35FA"/>
    <w:rsid w:val="00EB0C5E"/>
    <w:rsid w:val="00EF1E00"/>
    <w:rsid w:val="00F13CA1"/>
    <w:rsid w:val="00F20FF6"/>
    <w:rsid w:val="00F2201C"/>
    <w:rsid w:val="00F22366"/>
    <w:rsid w:val="00F22959"/>
    <w:rsid w:val="00F2324C"/>
    <w:rsid w:val="00F3684C"/>
    <w:rsid w:val="00F40D7E"/>
    <w:rsid w:val="00F50055"/>
    <w:rsid w:val="00F67A14"/>
    <w:rsid w:val="00F72603"/>
    <w:rsid w:val="00F849C2"/>
    <w:rsid w:val="00F87AEE"/>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882204762">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2103</Words>
  <Characters>11571</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12</cp:revision>
  <cp:lastPrinted>2016-08-29T14:22:00Z</cp:lastPrinted>
  <dcterms:created xsi:type="dcterms:W3CDTF">2024-05-24T08:26:00Z</dcterms:created>
  <dcterms:modified xsi:type="dcterms:W3CDTF">2024-06-12T09:04:00Z</dcterms:modified>
</cp:coreProperties>
</file>